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47" w:rsidRPr="00D40647" w:rsidRDefault="00D40647" w:rsidP="00D40647">
      <w:pPr>
        <w:jc w:val="center"/>
        <w:rPr>
          <w:b/>
          <w:color w:val="FF0000"/>
          <w:sz w:val="36"/>
          <w:szCs w:val="36"/>
        </w:rPr>
      </w:pPr>
      <w:r w:rsidRPr="00D40647">
        <w:rPr>
          <w:b/>
          <w:color w:val="FF0000"/>
          <w:sz w:val="36"/>
          <w:szCs w:val="36"/>
        </w:rPr>
        <w:t>Emergency First Response Article Excerpts</w:t>
      </w:r>
    </w:p>
    <w:p w:rsidR="00593616" w:rsidRPr="00D40647" w:rsidRDefault="00D40647" w:rsidP="00D40647">
      <w:pPr>
        <w:jc w:val="center"/>
        <w:rPr>
          <w:sz w:val="36"/>
          <w:szCs w:val="36"/>
        </w:rPr>
      </w:pPr>
      <w:r w:rsidRPr="00D40647">
        <w:rPr>
          <w:i/>
          <w:sz w:val="36"/>
          <w:szCs w:val="36"/>
        </w:rPr>
        <w:t>Training Bulletins</w:t>
      </w:r>
      <w:r w:rsidRPr="00D40647">
        <w:rPr>
          <w:sz w:val="36"/>
          <w:szCs w:val="36"/>
        </w:rPr>
        <w:t xml:space="preserve"> First Quarter </w:t>
      </w:r>
      <w:r w:rsidR="008E5028" w:rsidRPr="00D40647">
        <w:rPr>
          <w:sz w:val="36"/>
          <w:szCs w:val="36"/>
        </w:rPr>
        <w:t xml:space="preserve">2016 to </w:t>
      </w:r>
      <w:r w:rsidR="008F76D7">
        <w:rPr>
          <w:sz w:val="36"/>
          <w:szCs w:val="36"/>
        </w:rPr>
        <w:t>First Quarter 2019</w:t>
      </w:r>
    </w:p>
    <w:p w:rsidR="00135876" w:rsidRPr="00635FFE" w:rsidRDefault="00135876">
      <w:pPr>
        <w:rPr>
          <w:color w:val="FF0000"/>
        </w:rPr>
      </w:pPr>
    </w:p>
    <w:p w:rsidR="00135876" w:rsidRPr="00635FFE" w:rsidRDefault="00135876">
      <w:pPr>
        <w:rPr>
          <w:color w:val="FF0000"/>
        </w:rPr>
      </w:pPr>
      <w:r w:rsidRPr="00635FFE">
        <w:rPr>
          <w:color w:val="FF0000"/>
        </w:rPr>
        <w:t>First Quarter 2016</w:t>
      </w:r>
    </w:p>
    <w:p w:rsidR="00493265" w:rsidRPr="00493265" w:rsidRDefault="00493265" w:rsidP="00493265">
      <w:pPr>
        <w:rPr>
          <w:rFonts w:ascii="AGaramond-Regular" w:eastAsia="Times New Roman" w:hAnsi="AGaramond-Regular" w:cs="Times New Roman"/>
          <w:color w:val="000000"/>
          <w:lang w:val="fr-FR" w:eastAsia="en-GB"/>
        </w:rPr>
      </w:pPr>
      <w:r w:rsidRPr="00493265">
        <w:rPr>
          <w:rFonts w:ascii="FuturaLT-Bold" w:eastAsia="Times New Roman" w:hAnsi="FuturaLT-Bold" w:cs="Times New Roman"/>
          <w:b/>
          <w:bCs/>
          <w:color w:val="004785"/>
          <w:lang w:val="fr-FR" w:eastAsia="en-GB"/>
        </w:rPr>
        <w:t>Nouvelles directives de RCP pour les cours EFR et PADI</w:t>
      </w:r>
      <w:r w:rsidRPr="00493265">
        <w:rPr>
          <w:rFonts w:ascii="FuturaLT-Bold" w:eastAsia="Times New Roman" w:hAnsi="FuturaLT-Bold" w:cs="Times New Roman"/>
          <w:b/>
          <w:bCs/>
          <w:color w:val="004785"/>
          <w:lang w:val="fr-FR" w:eastAsia="en-GB"/>
        </w:rPr>
        <w:br/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Les organisations Membres de ILCOR (International Liaison Committee on Resuscitation) ont commencé à publier de nouvelles directives pour la Réanimation Cardio-Pulmonaire (RCP) et les soins  cardiovasculaires d’urgence. Les cours Emergency First Response® (EFR) et PADI respectent ces directives et mettent en application les modifications dans les domaines où les protocoles ont été révisés.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 xml:space="preserve">Les dernières mises à jour de ILCOR montrent des changements relativement moindres dans la façon  dont la RCP et les premiers secours sont administrés par les personnes n’appartenant pas au domaine médical; ce qui prouve l’excellence des techniques de RCP de notre époque.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>Veuillez mettre à jour vos cours Emergency First Response pour y inclure les informations suivantes:</w:t>
      </w:r>
    </w:p>
    <w:p w:rsidR="00493265" w:rsidRPr="00493265" w:rsidRDefault="00493265" w:rsidP="00493265">
      <w:pP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</w:pP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t>RCP</w:t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br/>
      </w:r>
      <w:r w:rsidRPr="00493265">
        <w:rPr>
          <w:rFonts w:ascii="Segoe UI Symbol" w:eastAsia="ZapfDingbats" w:hAnsi="Segoe UI Symbol" w:cs="Segoe UI Symbol"/>
          <w:color w:val="000000"/>
          <w:lang w:val="fr-FR" w:eastAsia="en-GB"/>
        </w:rPr>
        <w:t>✦</w:t>
      </w:r>
      <w:r w:rsidRPr="00493265">
        <w:rPr>
          <w:rFonts w:ascii="ZapfDingbats" w:eastAsia="ZapfDingbats" w:hAnsi="Times New Roman" w:cs="Times New Roman"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Administrez les compressions sternales au rythme de 100-120 compressions par minute pour un patient adulte, un enfant, et un nourrisson.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br/>
      </w:r>
      <w:r w:rsidRPr="00493265">
        <w:rPr>
          <w:rFonts w:ascii="Segoe UI Symbol" w:eastAsia="ZapfDingbats" w:hAnsi="Segoe UI Symbol" w:cs="Segoe UI Symbol"/>
          <w:color w:val="000000"/>
          <w:lang w:val="fr-FR" w:eastAsia="en-GB"/>
        </w:rPr>
        <w:t>✦</w:t>
      </w:r>
      <w:r w:rsidRPr="00493265">
        <w:rPr>
          <w:rFonts w:ascii="ZapfDingbats" w:eastAsia="ZapfDingbats" w:hAnsi="Times New Roman" w:cs="Times New Roman"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Administrez les compressions en comprimant le sternum de 5 centimètres/2 pouces pour un adulte de taille moyenne, tout en évitant de le comprimer d’une manière excessive (plus de 6 centimètres/2,4 pouces).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br/>
      </w:r>
      <w:r w:rsidRPr="00493265">
        <w:rPr>
          <w:rFonts w:ascii="Segoe UI Symbol" w:eastAsia="ZapfDingbats" w:hAnsi="Segoe UI Symbol" w:cs="Segoe UI Symbol"/>
          <w:color w:val="000000"/>
          <w:lang w:val="fr-FR" w:eastAsia="en-GB"/>
        </w:rPr>
        <w:t>✦</w:t>
      </w:r>
      <w:r w:rsidRPr="00493265">
        <w:rPr>
          <w:rFonts w:ascii="ZapfDingbats" w:eastAsia="ZapfDingbats" w:hAnsi="Times New Roman" w:cs="Times New Roman"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N’interrompez pas les compressions sternales pendant plus de 10 secondes.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br/>
      </w:r>
      <w:r w:rsidRPr="00493265">
        <w:rPr>
          <w:rFonts w:ascii="Segoe UI Symbol" w:eastAsia="ZapfDingbats" w:hAnsi="Segoe UI Symbol" w:cs="Segoe UI Symbol"/>
          <w:color w:val="000000"/>
          <w:lang w:val="fr-FR" w:eastAsia="en-GB"/>
        </w:rPr>
        <w:t>✦</w:t>
      </w:r>
      <w:r w:rsidRPr="00493265">
        <w:rPr>
          <w:rFonts w:ascii="ZapfDingbats" w:eastAsia="ZapfDingbats" w:hAnsi="Times New Roman" w:cs="Times New Roman"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Contactez toujours les secours médicaux immédiatement pour quiconque se plaint de douleurs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br/>
        <w:t>thoraciques ou présente d’autres signes de crise cardiaque, n’essayez pas de transporter vous-même la personne vers un établissement médical.</w:t>
      </w:r>
    </w:p>
    <w:p w:rsidR="00493265" w:rsidRPr="00493265" w:rsidRDefault="00493265" w:rsidP="00493265">
      <w:pPr>
        <w:rPr>
          <w:rFonts w:ascii="AGaramond-Regular" w:eastAsia="Times New Roman" w:hAnsi="AGaramond-Regular" w:cs="Times New Roman"/>
          <w:color w:val="000000"/>
          <w:lang w:val="fr-FR" w:eastAsia="en-GB"/>
        </w:rPr>
      </w:pP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br/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L’utilisation de mannequins qui permettent de donner des informations sur la profondeur et le rythme des  compressions administrées est à présent encouragée. Cependant, d’autres types de mannequins sont acceptables. De plus, utilisez une référence sonore (métronome ou musique rythmique) pour améliorer le rythme des compressions.</w:t>
      </w:r>
    </w:p>
    <w:p w:rsidR="00493265" w:rsidRDefault="00493265" w:rsidP="00493265">
      <w:pPr>
        <w:rPr>
          <w:rFonts w:ascii="AGaramond-Regular" w:eastAsia="Times New Roman" w:hAnsi="AGaramond-Regular" w:cs="Times New Roman"/>
          <w:color w:val="000000"/>
          <w:lang w:val="fr-FR" w:eastAsia="en-GB"/>
        </w:rPr>
      </w:pP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t>Problèmes diabétiques (taux anormalement faible de sucre</w:t>
      </w:r>
      <w:r>
        <w:rPr>
          <w:rFonts w:ascii="FuturaLT" w:eastAsia="Times New Roman" w:hAnsi="FuturaLT" w:cs="Times New Roman"/>
          <w:color w:val="004785"/>
          <w:lang w:val="fr-FR" w:eastAsia="en-GB"/>
        </w:rPr>
        <w:t xml:space="preserve"> </w:t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t>dans le sang, hypoglycémie)</w:t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br/>
      </w:r>
      <w:r w:rsidRPr="00493265">
        <w:rPr>
          <w:rFonts w:ascii="Segoe UI Symbol" w:eastAsia="Times New Roman" w:hAnsi="Segoe UI Symbol" w:cs="Segoe UI Symbol"/>
          <w:color w:val="000000"/>
          <w:lang w:val="fr-FR" w:eastAsia="en-GB"/>
        </w:rPr>
        <w:t>✦</w:t>
      </w:r>
      <w:r w:rsidRPr="00493265">
        <w:rPr>
          <w:rFonts w:ascii="ZapfDingbatsITC" w:eastAsia="Times New Roman" w:hAnsi="ZapfDingbatsITC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Lorsqu’une personne diabétique ayant un taux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anormalement faible de sucre dans le sang montre des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>signes ou des symptômes d’hypoglycémie légère et est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capable de suivre des directives simples et d’avaler,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il faut</w:t>
      </w:r>
      <w: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lui administrer des comprimés de glucose pour tenter de</w:t>
      </w:r>
      <w: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résoudre l’hypoglycémie.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Si vous ne disposez pas de ces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comprimés, donnez-lui des jus de fruits, des sodas, ou des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friandises, selon ce qui est disponible.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</w:r>
      <w:r w:rsidRPr="00493265">
        <w:rPr>
          <w:rFonts w:ascii="Segoe UI Symbol" w:eastAsia="Times New Roman" w:hAnsi="Segoe UI Symbol" w:cs="Segoe UI Symbol"/>
          <w:color w:val="000000"/>
          <w:lang w:val="fr-FR" w:eastAsia="en-GB"/>
        </w:rPr>
        <w:t>✦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Les sympt</w:t>
      </w:r>
      <w:r w:rsidRPr="00493265">
        <w:rPr>
          <w:rFonts w:ascii="Times New Roman" w:eastAsia="Times New Roman" w:hAnsi="Times New Roman" w:cs="Times New Roman"/>
          <w:color w:val="000000"/>
          <w:lang w:val="fr-FR" w:eastAsia="en-GB"/>
        </w:rPr>
        <w:t>ô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mes peuvent persister pendant 10 </w:t>
      </w:r>
      <w:r w:rsidRPr="00493265">
        <w:rPr>
          <w:rFonts w:ascii="Times New Roman" w:eastAsia="Times New Roman" w:hAnsi="Times New Roman" w:cs="Times New Roman"/>
          <w:color w:val="000000"/>
          <w:lang w:val="fr-FR" w:eastAsia="en-GB"/>
        </w:rPr>
        <w:t>à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15 minutes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après avoir avalé des comprimés de glucose ou des aliments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sucrés. Les secouristes doivent attendre entre 10 et 15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minutes au moins, avant de prévenir les secours médicaux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et faire avaler à nouveau du sucre au diabétique. Si l’état du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diabétique se détériore pendant cet intervalle de temps ou ne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s’améliore pas, il faut appeler les secours médicaux.</w:t>
      </w:r>
    </w:p>
    <w:p w:rsidR="00493265" w:rsidRDefault="00493265" w:rsidP="00493265">
      <w:pPr>
        <w:rPr>
          <w:rFonts w:ascii="AGaramond-Regular" w:eastAsia="Times New Roman" w:hAnsi="AGaramond-Regular" w:cs="Times New Roman"/>
          <w:color w:val="000000"/>
          <w:lang w:val="fr-FR" w:eastAsia="en-GB"/>
        </w:rPr>
      </w:pP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t>Hémorragies graves</w:t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br/>
      </w:r>
      <w:r w:rsidRPr="00493265">
        <w:rPr>
          <w:rFonts w:ascii="Segoe UI Symbol" w:eastAsia="ZapfDingbats" w:hAnsi="Segoe UI Symbol" w:cs="Segoe UI Symbol"/>
          <w:color w:val="000000"/>
          <w:lang w:val="fr-FR" w:eastAsia="en-GB"/>
        </w:rPr>
        <w:t>✦</w:t>
      </w:r>
      <w:r w:rsidRPr="00493265">
        <w:rPr>
          <w:rFonts w:ascii="ZapfDingbats" w:eastAsia="ZapfDingbats" w:hAnsi="Times New Roman" w:cs="Times New Roman"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À présent, un garrot peut être effectué pendant les soins</w:t>
      </w:r>
      <w: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initiaux lorsqu’un secouriste n’a pas la possibilité de faire</w:t>
      </w:r>
      <w: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une pression directe pour contrôler l’hémorragie,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c’est-à-dire, entre autres: accident impliquant plusieurs blessés,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personne présentant plusieurs traumatismes, scène se déroulant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dans un environnement dangereux, blessure à laquelle on ne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peut pas accéder. Les garrots 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>p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euvent être efficaces pour les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hémorragies externes graves au niveau des membres.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</w:r>
      <w:r w:rsidRPr="00493265">
        <w:rPr>
          <w:rFonts w:ascii="Segoe UI Symbol" w:eastAsia="ZapfDingbats" w:hAnsi="Segoe UI Symbol" w:cs="Segoe UI Symbol"/>
          <w:color w:val="000000"/>
          <w:lang w:val="fr-FR" w:eastAsia="en-GB"/>
        </w:rPr>
        <w:lastRenderedPageBreak/>
        <w:t>✦</w:t>
      </w:r>
      <w:r w:rsidRPr="00493265">
        <w:rPr>
          <w:rFonts w:ascii="ZapfDingbats" w:eastAsia="ZapfDingbats" w:hAnsi="Times New Roman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Notez l’heure à laquelle un garrot est appliqué pour la première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fois et communiquez cette information au personnel des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secours médicaux.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Les garrots utilisés dans un environnement pré-hospitalier ont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prouvé qu’ils pouvaient efficacement contrôler un saignement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dans la plupart des cas et ont abouti à un faible 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t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aux de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complications.</w:t>
      </w:r>
    </w:p>
    <w:p w:rsidR="00493265" w:rsidRPr="00493265" w:rsidRDefault="00493265" w:rsidP="00493265">
      <w:pPr>
        <w:rPr>
          <w:rFonts w:ascii="AGaramond-Regular" w:eastAsia="Times New Roman" w:hAnsi="AGaramond-Regular" w:cs="Times New Roman"/>
          <w:color w:val="000000"/>
          <w:lang w:val="fr-FR" w:eastAsia="en-GB"/>
        </w:rPr>
      </w:pP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t>Brûlures</w:t>
      </w:r>
      <w:r w:rsidRPr="00493265">
        <w:rPr>
          <w:rFonts w:ascii="FuturaLT" w:eastAsia="Times New Roman" w:hAnsi="FuturaLT" w:cs="Times New Roman"/>
          <w:color w:val="004785"/>
          <w:lang w:val="fr-FR" w:eastAsia="en-GB"/>
        </w:rPr>
        <w:br/>
      </w:r>
      <w:r w:rsidRPr="00493265">
        <w:rPr>
          <w:rFonts w:ascii="Segoe UI Symbol" w:eastAsia="ZapfDingbats" w:hAnsi="Segoe UI Symbol" w:cs="Segoe UI Symbol"/>
          <w:color w:val="000000"/>
          <w:lang w:val="fr-FR" w:eastAsia="en-GB"/>
        </w:rPr>
        <w:t>✦</w:t>
      </w:r>
      <w:r w:rsidRPr="00493265">
        <w:rPr>
          <w:rFonts w:ascii="ZapfDingbats" w:eastAsia="ZapfDingbats" w:hAnsi="Times New Roman" w:cs="Times New Roman"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S’il n’y a pas d’eau froide ou tiède à disposition, une</w:t>
      </w:r>
      <w: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compresse froide ou tiède, mais </w:t>
      </w:r>
      <w: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pas glacée, peut être</w:t>
      </w:r>
      <w:r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 xml:space="preserve"> 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t>utile en tant que remplaçant pour refroidir une brûlure.</w:t>
      </w:r>
      <w:r w:rsidRPr="00493265">
        <w:rPr>
          <w:rFonts w:ascii="AGaramondPro-Bold" w:eastAsia="Times New Roman" w:hAnsi="AGaramondPro-Bold" w:cs="Times New Roman"/>
          <w:b/>
          <w:bCs/>
          <w:color w:val="000000"/>
          <w:lang w:val="fr-FR" w:eastAsia="en-GB"/>
        </w:rPr>
        <w:br/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Il faut être attentif à contrôler les signes et symptômes de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l’hypothermie lorsqu’on refroidit de larges brûlures.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Vous pouvez appliquer immédiatement ces changements dans vos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cours. Ils deviendront officiellement obligatoires le 31 mars 2016.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Afin de maintenir les cours EFR et PADI à jour et applicables à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une échelle internationale, les supports pédagogiques des cours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sont en phase de révision pour être conformes aux récentes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directives.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>Vous pouvez mettre à jour vos connaissances et vos techniques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pédagogiques EFR, grâce à la série de webinaires préenregistrés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gratuits et disponibles dans plusieurs langues sur les Sites Pros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EFR et PADI.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>D’autres directives sont publiées par des comités de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réanimation nationaux; vous trouverez davantage d’informations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détaillées à ce propos et la manière dont elles s’appliquent au cours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EFR et PADI, dans </w:t>
      </w:r>
      <w:r w:rsidRPr="00493265">
        <w:rPr>
          <w:rFonts w:ascii="AGaramondPro-Italic" w:eastAsia="Times New Roman" w:hAnsi="AGaramondPro-Italic" w:cs="Times New Roman"/>
          <w:i/>
          <w:iCs/>
          <w:color w:val="000000"/>
          <w:lang w:val="fr-FR" w:eastAsia="en-GB"/>
        </w:rPr>
        <w:t>The Responder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.</w:t>
      </w:r>
    </w:p>
    <w:p w:rsidR="00135876" w:rsidRPr="00493265" w:rsidRDefault="00135876" w:rsidP="00135876">
      <w:pPr>
        <w:rPr>
          <w:rFonts w:ascii="AGaramond-Regular" w:hAnsi="AGaramond-Regular" w:cs="AGaramond-Regular"/>
          <w:color w:val="FF0000"/>
          <w:lang w:val="fr-FR"/>
        </w:rPr>
      </w:pPr>
    </w:p>
    <w:p w:rsidR="00493265" w:rsidRPr="00493265" w:rsidRDefault="00493265" w:rsidP="00493265">
      <w:pPr>
        <w:rPr>
          <w:rFonts w:ascii="Times New Roman" w:eastAsia="Times New Roman" w:hAnsi="Times New Roman" w:cs="Times New Roman"/>
          <w:lang w:val="fr-FR" w:eastAsia="en-GB"/>
        </w:rPr>
      </w:pP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Pour avoir des références détaillées, consultez les Directives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complètes 2015 de la “American Heart 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Association” pour la RCP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et les soins cardiovasculaires d’urgence, ainsi que le document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publié par ILCOR, dans le journal Circulation sur </w:t>
      </w:r>
      <w:r w:rsidRPr="00493265">
        <w:rPr>
          <w:rFonts w:ascii="AGaramond-Regular" w:eastAsia="Times New Roman" w:hAnsi="AGaramond-Regular" w:cs="Times New Roman"/>
          <w:color w:val="215E9E"/>
          <w:lang w:val="fr-FR" w:eastAsia="en-GB"/>
        </w:rPr>
        <w:t>circ.ahajournals.org/content/132/16_suppl_1.toc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. et visionnez les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 xml:space="preserve">Directives 2015 du ERC sur </w:t>
      </w:r>
      <w:r w:rsidRPr="00493265">
        <w:rPr>
          <w:rFonts w:ascii="AGaramond-Regular" w:eastAsia="Times New Roman" w:hAnsi="AGaramond-Regular" w:cs="Times New Roman"/>
          <w:color w:val="215E9E"/>
          <w:lang w:val="fr-FR" w:eastAsia="en-GB"/>
        </w:rPr>
        <w:t>www.cprguidelines.eu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.</w:t>
      </w:r>
    </w:p>
    <w:p w:rsidR="00493265" w:rsidRPr="00493265" w:rsidRDefault="00493265" w:rsidP="00135876">
      <w:pPr>
        <w:rPr>
          <w:rFonts w:ascii="AGaramond-Regular" w:hAnsi="AGaramond-Regular" w:cs="AGaramond-Regular"/>
          <w:color w:val="FF0000"/>
          <w:lang w:val="fr-FR"/>
        </w:rPr>
      </w:pPr>
    </w:p>
    <w:p w:rsidR="00135876" w:rsidRPr="00493265" w:rsidRDefault="00135876" w:rsidP="00135876">
      <w:pPr>
        <w:rPr>
          <w:rFonts w:ascii="AGaramond-Regular" w:hAnsi="AGaramond-Regular" w:cs="AGaramond-Regular"/>
          <w:color w:val="000000"/>
          <w:sz w:val="24"/>
          <w:szCs w:val="24"/>
          <w:lang w:val="fr-FR"/>
        </w:rPr>
      </w:pPr>
    </w:p>
    <w:p w:rsidR="00635FFE" w:rsidRPr="00635FFE" w:rsidRDefault="00635FFE" w:rsidP="00635FFE">
      <w:pPr>
        <w:rPr>
          <w:color w:val="FF0000"/>
        </w:rPr>
      </w:pPr>
      <w:r>
        <w:rPr>
          <w:rFonts w:ascii="AGaramond-Regular" w:hAnsi="AGaramond-Regular" w:cs="AGaramond-Regular"/>
          <w:color w:val="FF0000"/>
          <w:sz w:val="24"/>
          <w:szCs w:val="24"/>
        </w:rPr>
        <w:t xml:space="preserve">Third </w:t>
      </w:r>
      <w:r w:rsidRPr="00635FFE">
        <w:rPr>
          <w:color w:val="FF0000"/>
        </w:rPr>
        <w:t>Quarter 2016</w:t>
      </w:r>
    </w:p>
    <w:p w:rsidR="00493265" w:rsidRDefault="00493265" w:rsidP="00493265">
      <w:pPr>
        <w:rPr>
          <w:rFonts w:ascii="FuturaLT-Bold" w:eastAsia="Times New Roman" w:hAnsi="FuturaLT-Bold" w:cs="Times New Roman"/>
          <w:b/>
          <w:bCs/>
          <w:color w:val="004785"/>
          <w:sz w:val="36"/>
          <w:szCs w:val="36"/>
          <w:lang w:val="fr-FR" w:eastAsia="en-GB"/>
        </w:rPr>
      </w:pPr>
      <w:r w:rsidRPr="00493265">
        <w:rPr>
          <w:rFonts w:ascii="FuturaLT-Bold" w:hAnsi="FuturaLT-Bold" w:cs="FuturaLT-Bold"/>
          <w:b/>
          <w:bCs/>
          <w:color w:val="1C4883"/>
          <w:sz w:val="36"/>
          <w:szCs w:val="36"/>
          <w:lang w:val="fr-FR"/>
        </w:rPr>
        <w:t>Nouvel Errata du Emergency First Response</w:t>
      </w:r>
      <w:r w:rsidRPr="00493265">
        <w:rPr>
          <w:rFonts w:ascii="FuturaLT-Bold" w:eastAsia="Times New Roman" w:hAnsi="FuturaLT-Bold" w:cs="Times New Roman"/>
          <w:b/>
          <w:bCs/>
          <w:color w:val="004785"/>
          <w:sz w:val="36"/>
          <w:szCs w:val="36"/>
          <w:lang w:val="fr-FR" w:eastAsia="en-GB"/>
        </w:rPr>
        <w:t xml:space="preserve">® Instructor </w:t>
      </w:r>
      <w:r>
        <w:rPr>
          <w:rFonts w:ascii="FuturaLT-Bold" w:eastAsia="Times New Roman" w:hAnsi="FuturaLT-Bold" w:cs="Times New Roman"/>
          <w:b/>
          <w:bCs/>
          <w:color w:val="004785"/>
          <w:sz w:val="36"/>
          <w:szCs w:val="36"/>
          <w:lang w:val="fr-FR" w:eastAsia="en-GB"/>
        </w:rPr>
        <w:t>Gu</w:t>
      </w:r>
      <w:r w:rsidRPr="00493265">
        <w:rPr>
          <w:rFonts w:ascii="FuturaLT-Bold" w:eastAsia="Times New Roman" w:hAnsi="FuturaLT-Bold" w:cs="Times New Roman"/>
          <w:b/>
          <w:bCs/>
          <w:color w:val="004785"/>
          <w:sz w:val="36"/>
          <w:szCs w:val="36"/>
          <w:lang w:val="fr-FR" w:eastAsia="en-GB"/>
        </w:rPr>
        <w:t>ide disponible</w:t>
      </w:r>
    </w:p>
    <w:p w:rsidR="0097377F" w:rsidRPr="00493265" w:rsidRDefault="0097377F" w:rsidP="00493265">
      <w:pPr>
        <w:rPr>
          <w:rFonts w:ascii="Times New Roman" w:eastAsia="Times New Roman" w:hAnsi="Times New Roman" w:cs="Times New Roman"/>
          <w:sz w:val="36"/>
          <w:szCs w:val="36"/>
          <w:lang w:val="fr-FR" w:eastAsia="en-GB"/>
        </w:rPr>
      </w:pP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Assurez-vous que vos Emergency First Response (EFR)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Instructor Guides soient à jour en vous référant à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>sur le Site Pro EFR et PADI. Ce document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indique les modifications introduites dans les guides de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l’Instructeur suite aux directives ILCOR 2015.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Les remises à jour associées dans les manuels de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l’élève, version anglaise, des cours Emergency First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Response Soins primaires et Soins secondaires sont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disponibles dès maintenant. La Carte de référence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 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t>rapide EFR, le manuel Soins aux enfants et les manuels</w:t>
      </w:r>
      <w:r w:rsidRPr="00493265">
        <w:rPr>
          <w:rFonts w:ascii="AGaramond-Regular" w:eastAsia="Times New Roman" w:hAnsi="AGaramond-Regular" w:cs="Times New Roman"/>
          <w:color w:val="000000"/>
          <w:lang w:val="fr-FR" w:eastAsia="en-GB"/>
        </w:rPr>
        <w:br/>
        <w:t>de RCP/DAE seront remis à jour prochainemen</w:t>
      </w:r>
      <w:r>
        <w:rPr>
          <w:rFonts w:ascii="AGaramond-Regular" w:eastAsia="Times New Roman" w:hAnsi="AGaramond-Regular" w:cs="Times New Roman"/>
          <w:color w:val="000000"/>
          <w:lang w:val="fr-FR" w:eastAsia="en-GB"/>
        </w:rPr>
        <w:t xml:space="preserve">t. </w:t>
      </w:r>
    </w:p>
    <w:p w:rsidR="00493265" w:rsidRPr="00493265" w:rsidRDefault="00493265" w:rsidP="00493265">
      <w:pP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:rsidR="00135876" w:rsidRPr="00493265" w:rsidRDefault="00135876" w:rsidP="00135876">
      <w:pPr>
        <w:rPr>
          <w:rFonts w:ascii="AGaramond-Regular" w:hAnsi="AGaramond-Regular" w:cs="AGaramond-Regular"/>
          <w:color w:val="000000"/>
          <w:lang w:val="fr-FR"/>
        </w:rPr>
      </w:pPr>
    </w:p>
    <w:p w:rsidR="00135876" w:rsidRPr="009B757C" w:rsidRDefault="00635FFE" w:rsidP="00135876">
      <w:pPr>
        <w:rPr>
          <w:rFonts w:ascii="AGaramond-Regular" w:hAnsi="AGaramond-Regular" w:cs="AGaramond-Regular"/>
          <w:color w:val="FF0000"/>
          <w:lang w:val="fr-FR"/>
        </w:rPr>
      </w:pPr>
      <w:r w:rsidRPr="009B757C">
        <w:rPr>
          <w:rFonts w:ascii="AGaramond-Regular" w:hAnsi="AGaramond-Regular" w:cs="AGaramond-Regular"/>
          <w:color w:val="FF0000"/>
          <w:lang w:val="fr-FR"/>
        </w:rPr>
        <w:t xml:space="preserve">Fourth Quarter </w:t>
      </w:r>
      <w:r w:rsidR="00135876" w:rsidRPr="009B757C">
        <w:rPr>
          <w:rFonts w:ascii="AGaramond-Regular" w:hAnsi="AGaramond-Regular" w:cs="AGaramond-Regular"/>
          <w:color w:val="FF0000"/>
          <w:lang w:val="fr-FR"/>
        </w:rPr>
        <w:t>2016</w:t>
      </w:r>
    </w:p>
    <w:p w:rsidR="009B757C" w:rsidRPr="009B757C" w:rsidRDefault="009B757C" w:rsidP="009B757C">
      <w:pP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9B757C"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>Les cours Emergency First Response® (EFR®) indiquent que, si pour une raison</w:t>
      </w:r>
      <w:r w:rsidRPr="009B757C"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br/>
        <w:t>quelconque, un secouriste ne peut ou ne veut pas administrer d’insufflations lors d’une</w:t>
      </w:r>
      <w:r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 xml:space="preserve">véritable urgence nécessitant une RCP, s’il administre uniquement les </w:t>
      </w:r>
      <w:r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>compressions, il</w:t>
      </w:r>
      <w:r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>peut tout de même aider le patient. Comment cela s’applique-t-il à la RCP administrée</w:t>
      </w:r>
      <w:r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t>aux victimes de noyade?</w:t>
      </w:r>
      <w:r w:rsidRPr="009B757C">
        <w:rPr>
          <w:rFonts w:ascii="AGaramondPro-Bold" w:eastAsia="Times New Roman" w:hAnsi="AGaramondPro-Bold" w:cs="Times New Roman"/>
          <w:b/>
          <w:bCs/>
          <w:color w:val="000000"/>
          <w:sz w:val="24"/>
          <w:szCs w:val="24"/>
          <w:lang w:val="fr-FR" w:eastAsia="en-GB"/>
        </w:rPr>
        <w:br/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R. Nous vous encourageons à administrer les insufflations aux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victimes de noyade. Comme 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l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’arrêt respiratoire dû à une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noyade est souvent suspecté lors d’un accident de plongée, les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br/>
        <w:t>insufflations demeurent une technique clé dans le sauvetage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des plongeurs. Le cours PADI Rescue Diver enseigne aux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plongeurs à administrer des insufflations dans l’eau et, une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br/>
        <w:t>fois parvenus sur une plateforme stable, à commencer la RCP – composée d’insufflations et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br/>
        <w:t>de compressions – pour aider une victime d’accident de plongée en arrêt respiratoire. Dans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br/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lastRenderedPageBreak/>
        <w:t>de nombreux pays, le protocole à suivre en cas de suspicion de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noyade est, si possible, d’administrer une RCP immédiate; en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>faisant d’abord les insufflations, puis les compressions sternales.</w:t>
      </w:r>
      <w:r>
        <w:rPr>
          <w:rFonts w:ascii="AGaramondPro-Regular" w:eastAsia="Times New Roman" w:hAnsi="AGaramondPro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>Suivant les recommandations de base de ILCOR, dans les</w:t>
      </w:r>
      <w:r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>autres pays, les représentants locaux de ILCOR insistent sur</w:t>
      </w:r>
      <w:r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>le besoin de faire des insufflations aux victimes suspectées de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noyade, mais ne spécifient pas s’il faut commencer la RCP par les</w:t>
      </w:r>
      <w:r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>insufflations. Les experts de la communauté médicale ne s’accordent</w:t>
      </w:r>
      <w:r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 xml:space="preserve">pas sur le niveau d’importance à </w:t>
      </w:r>
      <w:r w:rsidRPr="009B757C">
        <w:rPr>
          <w:rFonts w:ascii="AGaramond-Italic" w:eastAsia="Times New Roman" w:hAnsi="AGaramond-Italic" w:cs="Times New Roman"/>
          <w:i/>
          <w:iCs/>
          <w:color w:val="000000"/>
          <w:sz w:val="24"/>
          <w:szCs w:val="24"/>
          <w:lang w:val="fr-FR" w:eastAsia="en-GB"/>
        </w:rPr>
        <w:t xml:space="preserve">d’abord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>administrer les insufflations</w:t>
      </w:r>
      <w:r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>dans les cas de noyade. Cependant, ils sont virtuellement tous unanimes sur le fait qu’il est</w:t>
      </w:r>
      <w:r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 xml:space="preserve"> 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t>important de commencer la RCP (insufflations et compressions) dès que possible.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Administrer les compressions sternales avec les insufflations continue à être le standard des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soins (la meilleure chance de réussite) pour une RCP administrée par une personne n’appartenant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pas au domaine médical. C’est la raison pour laquelle ces deux techniques sont enseignées en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tant que processus de RCP en deux étapes dans les cours EFR. Lors de n’importe quelle urgence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avec un patient en arrêt respiratoire, administrer uniquement les compressions sternales n’est pas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idéal. Mais, si pour une raison quelconque, le sauveteur ne peut pas, ou a peur d’administrer les</w:t>
      </w:r>
      <w:r w:rsidRPr="009B757C">
        <w:rPr>
          <w:rFonts w:ascii="AGaramond-Regular" w:eastAsia="Times New Roman" w:hAnsi="AGaramond-Regular" w:cs="Times New Roman"/>
          <w:color w:val="000000"/>
          <w:sz w:val="24"/>
          <w:szCs w:val="24"/>
          <w:lang w:val="fr-FR" w:eastAsia="en-GB"/>
        </w:rPr>
        <w:br/>
        <w:t>insufflations, alors les compressions sternales seules sont toujours considérées comme bénéfiques</w:t>
      </w:r>
    </w:p>
    <w:p w:rsidR="00E64854" w:rsidRPr="009B757C" w:rsidRDefault="00E64854" w:rsidP="00E64854">
      <w:pPr>
        <w:rPr>
          <w:rFonts w:ascii="EamesCenturyModern-Regular" w:hAnsi="EamesCenturyModern-Regular" w:cs="EamesCenturyModern-Regular"/>
          <w:color w:val="3D5E9C"/>
          <w:lang w:val="fr-FR"/>
        </w:rPr>
      </w:pPr>
    </w:p>
    <w:p w:rsidR="00E64854" w:rsidRPr="005C163E" w:rsidRDefault="00E64854" w:rsidP="00E64854">
      <w:pPr>
        <w:rPr>
          <w:rFonts w:ascii="EamesCenturyModern-Regular" w:hAnsi="EamesCenturyModern-Regular" w:cs="EamesCenturyModern-Regular"/>
          <w:color w:val="FF0000"/>
        </w:rPr>
      </w:pPr>
      <w:r>
        <w:rPr>
          <w:rFonts w:ascii="EamesCenturyModern-Regular" w:hAnsi="EamesCenturyModern-Regular" w:cs="EamesCenturyModern-Regular"/>
          <w:color w:val="FF0000"/>
        </w:rPr>
        <w:t>Fourth</w:t>
      </w:r>
      <w:r w:rsidRPr="005C163E">
        <w:rPr>
          <w:rFonts w:ascii="EamesCenturyModern-Regular" w:hAnsi="EamesCenturyModern-Regular" w:cs="EamesCenturyModern-Regular"/>
          <w:color w:val="FF0000"/>
        </w:rPr>
        <w:t xml:space="preserve"> Quarter 2018</w:t>
      </w:r>
    </w:p>
    <w:p w:rsidR="002335A3" w:rsidRDefault="002335A3" w:rsidP="002335A3">
      <w:pPr>
        <w:autoSpaceDE w:val="0"/>
        <w:autoSpaceDN w:val="0"/>
        <w:adjustRightInd w:val="0"/>
        <w:rPr>
          <w:rFonts w:ascii="TitlingGothicFBComp-Bold" w:hAnsi="TitlingGothicFBComp-Bold" w:cs="TitlingGothicFBComp-Bold"/>
          <w:b/>
          <w:bCs/>
          <w:color w:val="FFFFFF"/>
          <w:sz w:val="42"/>
          <w:szCs w:val="42"/>
        </w:rPr>
      </w:pPr>
      <w:r>
        <w:rPr>
          <w:rFonts w:ascii="TitlingGothicFBComp-Bold" w:hAnsi="TitlingGothicFBComp-Bold" w:cs="TitlingGothicFBComp-Bold"/>
          <w:b/>
          <w:bCs/>
          <w:color w:val="FFFFFF"/>
          <w:sz w:val="42"/>
          <w:szCs w:val="42"/>
        </w:rPr>
        <w:t>CORRECTIONS</w:t>
      </w:r>
    </w:p>
    <w:p w:rsidR="009B757C" w:rsidRDefault="009B757C" w:rsidP="002335A3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  <w:lang w:val="fr-FR"/>
        </w:rPr>
      </w:pPr>
      <w:r w:rsidRPr="009B757C">
        <w:rPr>
          <w:rFonts w:ascii="TitlingGothicFBNarrow-Bold" w:hAnsi="TitlingGothicFBNarrow-Bold"/>
          <w:b/>
          <w:bCs/>
          <w:color w:val="000000"/>
          <w:sz w:val="26"/>
          <w:szCs w:val="26"/>
          <w:lang w:val="fr-FR"/>
        </w:rPr>
        <w:t>CONSENSUS ILCOR DE MARS 2018</w:t>
      </w:r>
      <w:r w:rsidRPr="009B757C">
        <w:rPr>
          <w:rFonts w:ascii="TitlingGothicFBNarrow-Bold" w:hAnsi="TitlingGothicFBNarrow-Bold"/>
          <w:b/>
          <w:bCs/>
          <w:color w:val="000000"/>
          <w:sz w:val="26"/>
          <w:szCs w:val="26"/>
          <w:lang w:val="fr-FR"/>
        </w:rPr>
        <w:br/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Les cours Emergency First Response et PADI suivent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le rythme des recherches et des recommandations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actuelles en matière de traitement en soins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d'urgence. Les nouvelles récentes indiquent qu'aucun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changement aux procédures de RCP n'est nécessaire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dans les cours EFR.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Après une réévaluation dans le domaine, le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consensus le plus récent sur la science et les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recommandations pour le traitement du Comité de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liaison international sur la réanimation (ILCOR)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n'inclut aucun changement à la RCP administrée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par un secouriste. ILCOR réaffirme trois zones de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traitements administrés par les secouristes, comme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publiées dans le journal </w:t>
      </w:r>
      <w:r w:rsidRPr="009B757C">
        <w:rPr>
          <w:i/>
          <w:iCs/>
          <w:color w:val="000000"/>
          <w:sz w:val="20"/>
          <w:szCs w:val="20"/>
          <w:lang w:val="fr-FR"/>
        </w:rPr>
        <w:t xml:space="preserve">Resuscitation 121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(2017)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201-214: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</w:r>
      <w:r>
        <w:rPr>
          <w:rFonts w:ascii="EamesOrnaments-Regular" w:hAnsi="EamesOrnaments-Regular"/>
          <w:color w:val="2E7897"/>
          <w:sz w:val="24"/>
          <w:szCs w:val="24"/>
          <w:lang w:val="fr-FR"/>
        </w:rPr>
        <w:t xml:space="preserve">- </w:t>
      </w:r>
      <w:r w:rsidRPr="009B757C">
        <w:rPr>
          <w:i/>
          <w:iCs/>
          <w:color w:val="000000"/>
          <w:sz w:val="20"/>
          <w:szCs w:val="20"/>
          <w:lang w:val="fr-FR"/>
        </w:rPr>
        <w:t>Nous continuons à recommander que les secouristes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effectuent des compressions sternales pour tous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les patients en arrêt cardiaque. Nous suggérons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que les secouristes qui sont formés, capables et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disposés à administrer la respiration artificielle et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les compressions sternales le fassent pour tous les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patients adultes en arrêt cardiaque.</w:t>
      </w:r>
      <w:r w:rsidRPr="009B757C">
        <w:rPr>
          <w:i/>
          <w:iCs/>
          <w:color w:val="000000"/>
          <w:sz w:val="20"/>
          <w:szCs w:val="20"/>
          <w:lang w:val="fr-FR"/>
        </w:rPr>
        <w:br/>
      </w:r>
      <w:r>
        <w:rPr>
          <w:rFonts w:ascii="EamesOrnaments-Regular" w:hAnsi="EamesOrnaments-Regular"/>
          <w:color w:val="2E7897"/>
          <w:sz w:val="24"/>
          <w:szCs w:val="24"/>
          <w:lang w:val="fr-FR"/>
        </w:rPr>
        <w:t>-</w:t>
      </w:r>
      <w:r w:rsidRPr="009B757C">
        <w:rPr>
          <w:rFonts w:ascii="EamesOrnaments-Regular" w:hAnsi="EamesOrnaments-Regular"/>
          <w:color w:val="2E7897"/>
          <w:sz w:val="24"/>
          <w:szCs w:val="24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Nous suggérons un ratio compression/ventilation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(CV) de 30:2 par rapport à tout autre ratio CV pour</w:t>
      </w:r>
      <w:r w:rsidRPr="009B757C">
        <w:rPr>
          <w:i/>
          <w:iCs/>
          <w:color w:val="000000"/>
          <w:sz w:val="20"/>
          <w:szCs w:val="20"/>
          <w:lang w:val="fr-FR"/>
        </w:rPr>
        <w:br/>
        <w:t>les patients en arrêt cardiaque.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</w:p>
    <w:p w:rsidR="00E64854" w:rsidRPr="009B757C" w:rsidRDefault="009B757C" w:rsidP="002335A3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  <w:lang w:val="fr-FR"/>
        </w:rPr>
      </w:pPr>
      <w:r>
        <w:rPr>
          <w:rFonts w:ascii="EamesOrnaments-Regular" w:hAnsi="EamesOrnaments-Regular"/>
          <w:color w:val="2E7897"/>
          <w:sz w:val="24"/>
          <w:szCs w:val="24"/>
          <w:lang w:val="fr-FR"/>
        </w:rPr>
        <w:t>-</w:t>
      </w:r>
      <w:r w:rsidRPr="009B757C">
        <w:rPr>
          <w:rFonts w:ascii="EamesOrnaments-Regular" w:hAnsi="EamesOrnaments-Regular"/>
          <w:color w:val="2E7897"/>
          <w:sz w:val="24"/>
          <w:szCs w:val="24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Nous suggérons que les secouristes administrent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la RCP avec respiration artificielle pour les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nourrissons et les enfants de moins de 18 ans en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arrêt cardiaque. Nous continuons de recommander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que si les secouristes ne peuvent pas administrer la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respiration artificielle dans le cadre de la RCP aux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les nourrissons et aux enfants de moins de 18 ans en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arrêt cardiaque, ils doivent au moins leur faire des</w:t>
      </w:r>
      <w:r>
        <w:rPr>
          <w:i/>
          <w:iCs/>
          <w:color w:val="000000"/>
          <w:sz w:val="20"/>
          <w:szCs w:val="20"/>
          <w:lang w:val="fr-FR"/>
        </w:rPr>
        <w:t xml:space="preserve"> </w:t>
      </w:r>
      <w:r w:rsidRPr="009B757C">
        <w:rPr>
          <w:i/>
          <w:iCs/>
          <w:color w:val="000000"/>
          <w:sz w:val="20"/>
          <w:szCs w:val="20"/>
          <w:lang w:val="fr-FR"/>
        </w:rPr>
        <w:t>compressions sternales.</w:t>
      </w:r>
    </w:p>
    <w:p w:rsidR="00E64854" w:rsidRPr="009B757C" w:rsidRDefault="00E64854" w:rsidP="00E64854">
      <w:pPr>
        <w:rPr>
          <w:rFonts w:ascii="EamesCenturyModern-Regular" w:hAnsi="EamesCenturyModern-Regular" w:cs="EamesCenturyModern-Regular"/>
          <w:color w:val="3D5E9C"/>
          <w:lang w:val="fr-FR"/>
        </w:rPr>
      </w:pPr>
    </w:p>
    <w:p w:rsidR="00E64854" w:rsidRDefault="00E64854" w:rsidP="00E64854">
      <w:pPr>
        <w:rPr>
          <w:rFonts w:ascii="EamesCenturyModern-Regular" w:hAnsi="EamesCenturyModern-Regular" w:cs="EamesCenturyModern-Regular"/>
          <w:color w:val="FF0000"/>
        </w:rPr>
      </w:pPr>
      <w:r>
        <w:rPr>
          <w:rFonts w:ascii="EamesCenturyModern-Regular" w:hAnsi="EamesCenturyModern-Regular" w:cs="EamesCenturyModern-Regular"/>
          <w:color w:val="FF0000"/>
        </w:rPr>
        <w:t>First</w:t>
      </w:r>
      <w:r w:rsidRPr="005C163E">
        <w:rPr>
          <w:rFonts w:ascii="EamesCenturyModern-Regular" w:hAnsi="EamesCenturyModern-Regular" w:cs="EamesCenturyModern-Regular"/>
          <w:color w:val="FF0000"/>
        </w:rPr>
        <w:t xml:space="preserve"> Quarter </w:t>
      </w:r>
      <w:r>
        <w:rPr>
          <w:rFonts w:ascii="EamesCenturyModern-Regular" w:hAnsi="EamesCenturyModern-Regular" w:cs="EamesCenturyModern-Regular"/>
          <w:color w:val="FF0000"/>
        </w:rPr>
        <w:t>2019</w:t>
      </w:r>
    </w:p>
    <w:p w:rsidR="00E64854" w:rsidRDefault="00E64854" w:rsidP="00E64854">
      <w:pPr>
        <w:rPr>
          <w:rFonts w:ascii="EamesCenturyModern-Regular" w:hAnsi="EamesCenturyModern-Regular" w:cs="EamesCenturyModern-Regular"/>
          <w:color w:val="FF0000"/>
        </w:rPr>
      </w:pPr>
    </w:p>
    <w:p w:rsidR="00E64854" w:rsidRPr="009B757C" w:rsidRDefault="009B757C" w:rsidP="002335A3">
      <w:pPr>
        <w:autoSpaceDE w:val="0"/>
        <w:autoSpaceDN w:val="0"/>
        <w:adjustRightInd w:val="0"/>
        <w:rPr>
          <w:rFonts w:ascii="TitlingGothicFBComp-Bold" w:hAnsi="TitlingGothicFBComp-Bold" w:cs="TitlingGothicFBComp-Bold"/>
          <w:b/>
          <w:bCs/>
          <w:color w:val="FFFFFF"/>
          <w:sz w:val="42"/>
          <w:szCs w:val="42"/>
          <w:lang w:val="fr-FR"/>
        </w:rPr>
      </w:pPr>
      <w:r w:rsidRPr="009B757C">
        <w:rPr>
          <w:rFonts w:ascii="TitlingGothicFBCond-Bold" w:hAnsi="TitlingGothicFBCond-Bold"/>
          <w:b/>
          <w:bCs/>
          <w:color w:val="000000"/>
          <w:sz w:val="40"/>
          <w:szCs w:val="40"/>
          <w:lang w:val="fr-FR"/>
        </w:rPr>
        <w:t>Appareils d’évaluation</w:t>
      </w:r>
      <w:r>
        <w:rPr>
          <w:rFonts w:ascii="TitlingGothicFBCond-Bold" w:hAnsi="TitlingGothicFBCond-Bold"/>
          <w:b/>
          <w:bCs/>
          <w:color w:val="000000"/>
          <w:sz w:val="40"/>
          <w:szCs w:val="40"/>
          <w:lang w:val="fr-FR"/>
        </w:rPr>
        <w:t xml:space="preserve"> </w:t>
      </w:r>
      <w:r w:rsidRPr="009B757C">
        <w:rPr>
          <w:rFonts w:ascii="TitlingGothicFBCond-Bold" w:hAnsi="TitlingGothicFBCond-Bold"/>
          <w:b/>
          <w:bCs/>
          <w:color w:val="000000"/>
          <w:sz w:val="40"/>
          <w:szCs w:val="40"/>
          <w:lang w:val="fr-FR"/>
        </w:rPr>
        <w:t>immédiate pendant la</w:t>
      </w:r>
      <w:r>
        <w:rPr>
          <w:rFonts w:ascii="TitlingGothicFBCond-Bold" w:hAnsi="TitlingGothicFBCond-Bold"/>
          <w:b/>
          <w:bCs/>
          <w:color w:val="000000"/>
          <w:sz w:val="40"/>
          <w:szCs w:val="40"/>
          <w:lang w:val="fr-FR"/>
        </w:rPr>
        <w:t xml:space="preserve"> </w:t>
      </w:r>
      <w:r w:rsidRPr="009B757C">
        <w:rPr>
          <w:rFonts w:ascii="TitlingGothicFBCond-Bold" w:hAnsi="TitlingGothicFBCond-Bold"/>
          <w:b/>
          <w:bCs/>
          <w:color w:val="000000"/>
          <w:sz w:val="40"/>
          <w:szCs w:val="40"/>
          <w:lang w:val="fr-FR"/>
        </w:rPr>
        <w:t>formation en RCP</w:t>
      </w:r>
      <w:r w:rsidRPr="009B757C">
        <w:rPr>
          <w:rFonts w:ascii="TitlingGothicFBCond-Bold" w:hAnsi="TitlingGothicFBCond-Bold"/>
          <w:b/>
          <w:bCs/>
          <w:color w:val="000000"/>
          <w:sz w:val="40"/>
          <w:szCs w:val="40"/>
          <w:lang w:val="fr-FR"/>
        </w:rPr>
        <w:br/>
      </w:r>
      <w:r w:rsidRPr="009B757C">
        <w:rPr>
          <w:rFonts w:ascii="EamesCenturyModern-Medium" w:hAnsi="EamesCenturyModern-Medium"/>
          <w:color w:val="068789"/>
          <w:sz w:val="24"/>
          <w:szCs w:val="24"/>
          <w:lang w:val="fr-FR"/>
        </w:rPr>
        <w:t xml:space="preserve">Q. </w:t>
      </w:r>
      <w:r w:rsidRPr="009B757C">
        <w:rPr>
          <w:rFonts w:ascii="EamesCenturyModern-Medium" w:hAnsi="EamesCenturyModern-Medium"/>
          <w:color w:val="000000"/>
          <w:sz w:val="24"/>
          <w:szCs w:val="24"/>
          <w:lang w:val="fr-FR"/>
        </w:rPr>
        <w:t>Puis-je utiliser des mannequins ou</w:t>
      </w:r>
      <w:r>
        <w:rPr>
          <w:rFonts w:ascii="EamesCenturyModern-Medium" w:hAnsi="EamesCenturyModern-Medium"/>
          <w:color w:val="000000"/>
          <w:sz w:val="24"/>
          <w:szCs w:val="24"/>
          <w:lang w:val="fr-FR"/>
        </w:rPr>
        <w:t xml:space="preserve"> </w:t>
      </w:r>
      <w:r w:rsidRPr="009B757C">
        <w:rPr>
          <w:rFonts w:ascii="EamesCenturyModern-Medium" w:hAnsi="EamesCenturyModern-Medium"/>
          <w:color w:val="000000"/>
          <w:sz w:val="24"/>
          <w:szCs w:val="24"/>
          <w:lang w:val="fr-FR"/>
        </w:rPr>
        <w:t>des appareils d’évaluation de RCP qui</w:t>
      </w:r>
      <w:r>
        <w:rPr>
          <w:rFonts w:ascii="EamesCenturyModern-Medium" w:hAnsi="EamesCenturyModern-Medium"/>
          <w:color w:val="000000"/>
          <w:sz w:val="24"/>
          <w:szCs w:val="24"/>
          <w:lang w:val="fr-FR"/>
        </w:rPr>
        <w:t xml:space="preserve"> </w:t>
      </w:r>
      <w:r w:rsidRPr="009B757C">
        <w:rPr>
          <w:rFonts w:ascii="EamesCenturyModern-Medium" w:hAnsi="EamesCenturyModern-Medium"/>
          <w:color w:val="000000"/>
          <w:sz w:val="24"/>
          <w:szCs w:val="24"/>
          <w:lang w:val="fr-FR"/>
        </w:rPr>
        <w:t>informent les élèves si leur rythme de</w:t>
      </w:r>
      <w:r>
        <w:rPr>
          <w:rFonts w:ascii="EamesCenturyModern-Medium" w:hAnsi="EamesCenturyModern-Medium"/>
          <w:color w:val="000000"/>
          <w:sz w:val="24"/>
          <w:szCs w:val="24"/>
          <w:lang w:val="fr-FR"/>
        </w:rPr>
        <w:t xml:space="preserve"> </w:t>
      </w:r>
      <w:r w:rsidRPr="009B757C">
        <w:rPr>
          <w:rFonts w:ascii="EamesCenturyModern-Medium" w:hAnsi="EamesCenturyModern-Medium"/>
          <w:color w:val="000000"/>
          <w:sz w:val="24"/>
          <w:szCs w:val="24"/>
          <w:lang w:val="fr-FR"/>
        </w:rPr>
        <w:t>compressions sternales et la profondeur de</w:t>
      </w:r>
      <w:r>
        <w:rPr>
          <w:rFonts w:ascii="EamesCenturyModern-Medium" w:hAnsi="EamesCenturyModern-Medium"/>
          <w:color w:val="000000"/>
          <w:sz w:val="24"/>
          <w:szCs w:val="24"/>
          <w:lang w:val="fr-FR"/>
        </w:rPr>
        <w:t xml:space="preserve"> </w:t>
      </w:r>
      <w:r w:rsidRPr="009B757C">
        <w:rPr>
          <w:rFonts w:ascii="EamesCenturyModern-Medium" w:hAnsi="EamesCenturyModern-Medium"/>
          <w:color w:val="000000"/>
          <w:sz w:val="24"/>
          <w:szCs w:val="24"/>
          <w:lang w:val="fr-FR"/>
        </w:rPr>
        <w:t>compression sont appropriés dans les cours</w:t>
      </w:r>
      <w:r>
        <w:rPr>
          <w:rFonts w:ascii="EamesCenturyModern-Medium" w:hAnsi="EamesCenturyModern-Medium"/>
          <w:color w:val="000000"/>
          <w:sz w:val="24"/>
          <w:szCs w:val="24"/>
          <w:lang w:val="fr-FR"/>
        </w:rPr>
        <w:t xml:space="preserve"> </w:t>
      </w:r>
      <w:r w:rsidRPr="009B757C">
        <w:rPr>
          <w:rFonts w:ascii="EamesCenturyModern-Medium" w:hAnsi="EamesCenturyModern-Medium"/>
          <w:color w:val="000000"/>
          <w:sz w:val="24"/>
          <w:szCs w:val="24"/>
          <w:lang w:val="fr-FR"/>
        </w:rPr>
        <w:t>EFR</w:t>
      </w:r>
      <w:r w:rsidRPr="009B757C">
        <w:rPr>
          <w:rFonts w:ascii="EamesCenturyModern-Medium" w:hAnsi="EamesCenturyModern-Medium"/>
          <w:color w:val="000000"/>
          <w:sz w:val="14"/>
          <w:szCs w:val="14"/>
          <w:lang w:val="fr-FR"/>
        </w:rPr>
        <w:t>®</w:t>
      </w:r>
      <w:r w:rsidRPr="009B757C">
        <w:rPr>
          <w:rFonts w:ascii="EamesCenturyModern-Medium" w:hAnsi="EamesCenturyModern-Medium"/>
          <w:color w:val="000000"/>
          <w:sz w:val="24"/>
          <w:szCs w:val="24"/>
          <w:lang w:val="fr-FR"/>
        </w:rPr>
        <w:t>?</w:t>
      </w:r>
      <w:r w:rsidRPr="009B757C">
        <w:rPr>
          <w:rFonts w:ascii="EamesCenturyModern-Medium" w:hAnsi="EamesCenturyModern-Medium"/>
          <w:color w:val="000000"/>
          <w:lang w:val="fr-FR"/>
        </w:rPr>
        <w:br/>
      </w:r>
      <w:r w:rsidRPr="009B757C">
        <w:rPr>
          <w:rFonts w:ascii="EamesCenturyModern-Medium" w:hAnsi="EamesCenturyModern-Medium"/>
          <w:color w:val="068789"/>
          <w:sz w:val="24"/>
          <w:szCs w:val="24"/>
          <w:lang w:val="fr-FR"/>
        </w:rPr>
        <w:t xml:space="preserve">R.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Absolument. Au moins un comité de réanimation,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la American Heart Association, recommande,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basé sur des recherches, l’utilisation d’appareils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d’évaluation de RCP de qualité pour apprendre à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lastRenderedPageBreak/>
        <w:t>administrer la RCP sur des adultes. Bien que la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répétition des techniques de RCP soit essentielle,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on pense que l’utilisation d’appareils d’évaluation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peut réduire le temps nécessaire pour maîtriser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ces techniques, car les participants peuvent s’autocorriger suite à l’évaluation en temps réel de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l’appareil. Ces dernières années, les Directives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ILCOR, ont insisté sur le maintien du rythme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de compressions, de la profondeur et du recul,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ce qui fait de ces appareils une aide pédagogique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intéressante pour l’évaluation de la maîtrise des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techniques.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L'aspect important de l'utilisation de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mannequins qui donnent des résultats immédiats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sur le rythme de compressions, la profondeur et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le recul dans les cours EFR est le suivant: l’élève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peut pratiquer en étant rassuré, afin de ne pas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compromettre la philosophie "une assistance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suffisante et préférable à aucune assistance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parfaite" décrite dans le cours EFR Instructor.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N'oubliez pas que les élèves en RCP sont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souvent intimidés par les exercices pratiques et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peuvent ressentir de l'incertitude quant à leurs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performances, surtout lorsqu'ils ne sont pas en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mesure d'obtenir immédiatement d'excellents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résultats. Si l'instructeur ne réussit pas à mettre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à l’aise et à soutenir ses participants lors de la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formation en RCP, leur capacité à apprendre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les techniques, à les conserver et à les appliquer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sera gravement réduite. Cependant, utilisés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correctement, les appareils d’évaluation de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RCP sont un outil pédagogique qui peut aider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efficacement les élèves EFR à aligner leurs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techniques pratiques de RCP sur les directives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actuelles concernant le rythme de compressions,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la profondeur et le recul entre les compressions.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Une variété d’appareils d’évaluation de RCP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sont disponibles; certains sont intégrés au</w:t>
      </w:r>
      <w:r>
        <w:rPr>
          <w:rFonts w:ascii="EamesCenturyModern-Regular" w:hAnsi="EamesCenturyModern-Regular"/>
          <w:color w:val="000000"/>
          <w:sz w:val="20"/>
          <w:szCs w:val="20"/>
          <w:lang w:val="fr-FR"/>
        </w:rPr>
        <w:t xml:space="preserve"> 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t>mannequin, d'autres peuvent être connectés sur</w:t>
      </w:r>
      <w:r w:rsidRPr="009B757C">
        <w:rPr>
          <w:rFonts w:ascii="EamesCenturyModern-Regular" w:hAnsi="EamesCenturyModern-Regular"/>
          <w:color w:val="000000"/>
          <w:sz w:val="20"/>
          <w:szCs w:val="20"/>
          <w:lang w:val="fr-FR"/>
        </w:rPr>
        <w:br/>
        <w:t>un mannequin sans ce dispositif.</w:t>
      </w:r>
      <w:bookmarkStart w:id="0" w:name="_GoBack"/>
      <w:bookmarkEnd w:id="0"/>
    </w:p>
    <w:sectPr w:rsidR="00E64854" w:rsidRPr="009B75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FD" w:rsidRDefault="009175FD" w:rsidP="001F092C">
      <w:r>
        <w:separator/>
      </w:r>
    </w:p>
  </w:endnote>
  <w:endnote w:type="continuationSeparator" w:id="0">
    <w:p w:rsidR="009175FD" w:rsidRDefault="009175FD" w:rsidP="001F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lingGothicFBNarrow-Bold">
    <w:altName w:val="Times New Roman"/>
    <w:panose1 w:val="00000000000000000000"/>
    <w:charset w:val="00"/>
    <w:family w:val="roman"/>
    <w:notTrueType/>
    <w:pitch w:val="default"/>
  </w:font>
  <w:font w:name="EamesCenturyModer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Garamon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ITC">
    <w:altName w:val="Times New Roman"/>
    <w:panose1 w:val="00000000000000000000"/>
    <w:charset w:val="00"/>
    <w:family w:val="roman"/>
    <w:notTrueType/>
    <w:pitch w:val="default"/>
  </w:font>
  <w:font w:name="AGaramond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GaramondPro-Regular">
    <w:altName w:val="Times New Roman"/>
    <w:panose1 w:val="00000000000000000000"/>
    <w:charset w:val="00"/>
    <w:family w:val="roman"/>
    <w:notTrueType/>
    <w:pitch w:val="default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lingGothicFBComp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amesOrnaments-Regular">
    <w:altName w:val="Times New Roman"/>
    <w:panose1 w:val="00000000000000000000"/>
    <w:charset w:val="00"/>
    <w:family w:val="roman"/>
    <w:notTrueType/>
    <w:pitch w:val="default"/>
  </w:font>
  <w:font w:name="TitlingGothicFBCond-Bold">
    <w:altName w:val="Times New Roman"/>
    <w:panose1 w:val="00000000000000000000"/>
    <w:charset w:val="00"/>
    <w:family w:val="roman"/>
    <w:notTrueType/>
    <w:pitch w:val="default"/>
  </w:font>
  <w:font w:name="EamesCenturyModern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FD" w:rsidRDefault="009175FD" w:rsidP="001F092C">
      <w:r>
        <w:separator/>
      </w:r>
    </w:p>
  </w:footnote>
  <w:footnote w:type="continuationSeparator" w:id="0">
    <w:p w:rsidR="009175FD" w:rsidRDefault="009175FD" w:rsidP="001F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28604"/>
      <w:docPartObj>
        <w:docPartGallery w:val="Page Numbers (Margins)"/>
        <w:docPartUnique/>
      </w:docPartObj>
    </w:sdtPr>
    <w:sdtEndPr/>
    <w:sdtContent>
      <w:p w:rsidR="001F092C" w:rsidRDefault="001F092C">
        <w:pPr>
          <w:pStyle w:val="Head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092C" w:rsidRDefault="001F092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9B757C" w:rsidRPr="009B757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BIWpNG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1F092C" w:rsidRDefault="001F092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9B757C" w:rsidRPr="009B757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B4E46"/>
    <w:multiLevelType w:val="hybridMultilevel"/>
    <w:tmpl w:val="15D2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4237C"/>
    <w:multiLevelType w:val="hybridMultilevel"/>
    <w:tmpl w:val="9D601A1A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28"/>
    <w:rsid w:val="00135876"/>
    <w:rsid w:val="001F092C"/>
    <w:rsid w:val="002234E8"/>
    <w:rsid w:val="002335A3"/>
    <w:rsid w:val="00493265"/>
    <w:rsid w:val="00593616"/>
    <w:rsid w:val="005C163E"/>
    <w:rsid w:val="00635FFE"/>
    <w:rsid w:val="007A7293"/>
    <w:rsid w:val="00841017"/>
    <w:rsid w:val="008C0C17"/>
    <w:rsid w:val="008E5028"/>
    <w:rsid w:val="008F76D7"/>
    <w:rsid w:val="009175FD"/>
    <w:rsid w:val="009645D5"/>
    <w:rsid w:val="0097377F"/>
    <w:rsid w:val="00973C45"/>
    <w:rsid w:val="009B757C"/>
    <w:rsid w:val="00B44D02"/>
    <w:rsid w:val="00D40647"/>
    <w:rsid w:val="00D94C66"/>
    <w:rsid w:val="00DB56CC"/>
    <w:rsid w:val="00E64854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037DA-B37B-4E83-BCA4-9810C98C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5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2C"/>
  </w:style>
  <w:style w:type="paragraph" w:styleId="Footer">
    <w:name w:val="footer"/>
    <w:basedOn w:val="Normal"/>
    <w:link w:val="FooterChar"/>
    <w:uiPriority w:val="99"/>
    <w:unhideWhenUsed/>
    <w:rsid w:val="001F0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2C"/>
  </w:style>
  <w:style w:type="paragraph" w:styleId="ListParagraph">
    <w:name w:val="List Paragraph"/>
    <w:basedOn w:val="Normal"/>
    <w:uiPriority w:val="34"/>
    <w:qFormat/>
    <w:rsid w:val="001F092C"/>
    <w:pPr>
      <w:ind w:left="720"/>
      <w:contextualSpacing/>
    </w:pPr>
  </w:style>
  <w:style w:type="character" w:customStyle="1" w:styleId="fontstyle01">
    <w:name w:val="fontstyle01"/>
    <w:basedOn w:val="DefaultParagraphFont"/>
    <w:rsid w:val="008F76D7"/>
    <w:rPr>
      <w:rFonts w:ascii="TitlingGothicFBNarrow-Bold" w:hAnsi="TitlingGothicFBNarrow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8F76D7"/>
    <w:rPr>
      <w:rFonts w:ascii="EamesCenturyModern-Regular" w:hAnsi="EamesCenturyModern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F76D7"/>
    <w:rPr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493265"/>
    <w:rPr>
      <w:rFonts w:ascii="ZapfDingbats" w:eastAsia="ZapfDingbats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493265"/>
    <w:rPr>
      <w:rFonts w:ascii="AGaramondPro-Bold" w:hAnsi="AGaramondPro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493265"/>
    <w:rPr>
      <w:rFonts w:ascii="ZapfDingbatsITC" w:hAnsi="ZapfDingbatsIT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71">
    <w:name w:val="fontstyle71"/>
    <w:basedOn w:val="DefaultParagraphFont"/>
    <w:rsid w:val="00493265"/>
    <w:rPr>
      <w:rFonts w:ascii="AGaramondPro-Italic" w:hAnsi="AGaramondPro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Taylor Sanders</dc:creator>
  <cp:lastModifiedBy>Mickael Christien</cp:lastModifiedBy>
  <cp:revision>4</cp:revision>
  <cp:lastPrinted>2019-04-12T10:54:00Z</cp:lastPrinted>
  <dcterms:created xsi:type="dcterms:W3CDTF">2019-04-23T09:46:00Z</dcterms:created>
  <dcterms:modified xsi:type="dcterms:W3CDTF">2019-04-23T10:07:00Z</dcterms:modified>
</cp:coreProperties>
</file>