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1D" w:rsidRPr="00D40647" w:rsidRDefault="006D7F1D" w:rsidP="006D7F1D">
      <w:pPr>
        <w:jc w:val="center"/>
        <w:rPr>
          <w:b/>
          <w:color w:val="FF0000"/>
          <w:sz w:val="36"/>
          <w:szCs w:val="36"/>
        </w:rPr>
      </w:pPr>
      <w:r w:rsidRPr="00D40647">
        <w:rPr>
          <w:b/>
          <w:color w:val="FF0000"/>
          <w:sz w:val="36"/>
          <w:szCs w:val="36"/>
        </w:rPr>
        <w:t>Emergency First Response Article Excerpts</w:t>
      </w:r>
    </w:p>
    <w:p w:rsidR="006D7F1D" w:rsidRPr="00DF1930" w:rsidRDefault="006D7F1D" w:rsidP="006D7F1D">
      <w:pPr>
        <w:jc w:val="center"/>
        <w:rPr>
          <w:sz w:val="36"/>
          <w:szCs w:val="36"/>
          <w:lang w:val="de-DE"/>
        </w:rPr>
      </w:pPr>
      <w:r w:rsidRPr="00DF1930">
        <w:rPr>
          <w:i/>
          <w:sz w:val="36"/>
          <w:szCs w:val="36"/>
          <w:lang w:val="de-DE"/>
        </w:rPr>
        <w:t>Training Bulletins</w:t>
      </w:r>
      <w:r w:rsidRPr="00DF1930">
        <w:rPr>
          <w:sz w:val="36"/>
          <w:szCs w:val="36"/>
          <w:lang w:val="de-DE"/>
        </w:rPr>
        <w:t xml:space="preserve"> </w:t>
      </w:r>
      <w:r w:rsidR="00DF1930" w:rsidRPr="00DF1930">
        <w:rPr>
          <w:sz w:val="36"/>
          <w:szCs w:val="36"/>
          <w:lang w:val="de-DE"/>
        </w:rPr>
        <w:t>Erstes Quartal</w:t>
      </w:r>
      <w:r w:rsidRPr="00DF1930">
        <w:rPr>
          <w:sz w:val="36"/>
          <w:szCs w:val="36"/>
          <w:lang w:val="de-DE"/>
        </w:rPr>
        <w:t xml:space="preserve"> 2016 </w:t>
      </w:r>
      <w:r w:rsidR="00DF1930" w:rsidRPr="00DF1930">
        <w:rPr>
          <w:sz w:val="36"/>
          <w:szCs w:val="36"/>
          <w:lang w:val="de-DE"/>
        </w:rPr>
        <w:t>bis</w:t>
      </w:r>
      <w:r w:rsidRPr="00DF1930">
        <w:rPr>
          <w:sz w:val="36"/>
          <w:szCs w:val="36"/>
          <w:lang w:val="de-DE"/>
        </w:rPr>
        <w:t xml:space="preserve"> </w:t>
      </w:r>
      <w:r w:rsidR="00DF1930" w:rsidRPr="00DF1930">
        <w:rPr>
          <w:sz w:val="36"/>
          <w:szCs w:val="36"/>
          <w:lang w:val="de-DE"/>
        </w:rPr>
        <w:t>Erstes Quartal</w:t>
      </w:r>
      <w:r w:rsidRPr="00DF1930">
        <w:rPr>
          <w:sz w:val="36"/>
          <w:szCs w:val="36"/>
          <w:lang w:val="de-DE"/>
        </w:rPr>
        <w:t xml:space="preserve"> 2019</w:t>
      </w:r>
    </w:p>
    <w:p w:rsidR="006D7F1D" w:rsidRPr="00DF1930" w:rsidRDefault="006D7F1D" w:rsidP="006D7F1D">
      <w:pPr>
        <w:rPr>
          <w:color w:val="FF0000"/>
          <w:lang w:val="de-DE"/>
        </w:rPr>
      </w:pPr>
    </w:p>
    <w:p w:rsidR="006D7F1D" w:rsidRPr="00635FFE" w:rsidRDefault="00DF1930" w:rsidP="006D7F1D">
      <w:pPr>
        <w:rPr>
          <w:color w:val="FF0000"/>
        </w:rPr>
      </w:pPr>
      <w:r>
        <w:rPr>
          <w:color w:val="FF0000"/>
        </w:rPr>
        <w:t>Erstes Quartal</w:t>
      </w:r>
      <w:r w:rsidR="006D7F1D" w:rsidRPr="00635FFE">
        <w:rPr>
          <w:color w:val="FF0000"/>
        </w:rPr>
        <w:t xml:space="preserve"> 2016</w:t>
      </w:r>
    </w:p>
    <w:p w:rsidR="006D7F1D" w:rsidRPr="006D7F1D" w:rsidRDefault="006D7F1D" w:rsidP="006D7F1D">
      <w:pPr>
        <w:autoSpaceDE w:val="0"/>
        <w:autoSpaceDN w:val="0"/>
        <w:adjustRightInd w:val="0"/>
        <w:rPr>
          <w:rFonts w:cstheme="minorHAnsi"/>
          <w:b/>
          <w:bCs/>
          <w:color w:val="2F5496" w:themeColor="accent5" w:themeShade="BF"/>
          <w:sz w:val="32"/>
          <w:szCs w:val="32"/>
          <w:lang w:val="de-DE"/>
        </w:rPr>
      </w:pPr>
      <w:r w:rsidRPr="006D7F1D">
        <w:rPr>
          <w:rFonts w:cstheme="minorHAnsi"/>
          <w:b/>
          <w:bCs/>
          <w:color w:val="2F5496" w:themeColor="accent5" w:themeShade="BF"/>
          <w:sz w:val="32"/>
          <w:szCs w:val="32"/>
          <w:lang w:val="de-DE"/>
        </w:rPr>
        <w:t>Neue HLW Leitlinien für EFR und PADI Kurze</w:t>
      </w:r>
    </w:p>
    <w:p w:rsidR="006D7F1D" w:rsidRDefault="006D7F1D" w:rsidP="006D7F1D">
      <w:pPr>
        <w:autoSpaceDE w:val="0"/>
        <w:autoSpaceDN w:val="0"/>
        <w:adjustRightInd w:val="0"/>
        <w:rPr>
          <w:lang w:val="de-DE"/>
        </w:rPr>
      </w:pPr>
      <w:r w:rsidRPr="006D7F1D">
        <w:rPr>
          <w:lang w:val="de-DE"/>
        </w:rPr>
        <w:t xml:space="preserve">Die ILCOR-Mitgliedsorganisationen (ILCOR, International Liaison Committee on Resuscitation – Internationales Verbindungskomitee zu Fragen der Wiederbelebung) haben mit der Veröffentlichung neuer Leitlinien für Herz-LungenWiederbelebung (HLW) und die Versorgung von </w:t>
      </w:r>
      <w:r w:rsidR="0080561F" w:rsidRPr="006D7F1D">
        <w:rPr>
          <w:lang w:val="de-DE"/>
        </w:rPr>
        <w:t>Herz Kreislauf</w:t>
      </w:r>
      <w:r w:rsidRPr="006D7F1D">
        <w:rPr>
          <w:lang w:val="de-DE"/>
        </w:rPr>
        <w:t>-Notfällen (EEC - Emergency Cardiovascular Care) begonnen. Emergency First Response (EFR) und PADI Kurse folgen den ILCOR-Leitlinien und setzen Änderungen um, wann immer ir</w:t>
      </w:r>
      <w:r>
        <w:rPr>
          <w:lang w:val="de-DE"/>
        </w:rPr>
        <w:t>gendwelche Revisionen erfolgen.</w:t>
      </w:r>
    </w:p>
    <w:p w:rsidR="006D7F1D" w:rsidRPr="006D7F1D" w:rsidRDefault="006D7F1D" w:rsidP="006D7F1D">
      <w:pPr>
        <w:autoSpaceDE w:val="0"/>
        <w:autoSpaceDN w:val="0"/>
        <w:adjustRightInd w:val="0"/>
        <w:ind w:firstLine="720"/>
        <w:rPr>
          <w:rFonts w:ascii="AGaramond-Regular" w:hAnsi="AGaramond-Regular" w:cs="AGaramond-Regular"/>
          <w:color w:val="000000"/>
          <w:lang w:val="de-DE"/>
        </w:rPr>
      </w:pPr>
      <w:r w:rsidRPr="006D7F1D">
        <w:rPr>
          <w:lang w:val="de-DE"/>
        </w:rPr>
        <w:t>Die letzten Änderungen von ILCOR sind relativ gering, was HLW und Erste Hilfe durch Laien betrifft; dies zeigt den Erfolg von HLW in der heutigen Zeit. Passe bitte deine Emergency First Response Kurse unter Berücksichtigung der folgenden Informationen an:</w:t>
      </w:r>
    </w:p>
    <w:p w:rsidR="006D7F1D" w:rsidRDefault="006D7F1D" w:rsidP="006D7F1D">
      <w:pPr>
        <w:autoSpaceDE w:val="0"/>
        <w:autoSpaceDN w:val="0"/>
        <w:adjustRightInd w:val="0"/>
        <w:rPr>
          <w:rFonts w:ascii="FuturaLT" w:hAnsi="FuturaLT" w:cs="FuturaLT"/>
          <w:color w:val="004686"/>
          <w:lang w:val="de-DE"/>
        </w:rPr>
      </w:pPr>
    </w:p>
    <w:p w:rsidR="006D7F1D" w:rsidRPr="00DF1930" w:rsidRDefault="006D7F1D" w:rsidP="006D7F1D">
      <w:pPr>
        <w:autoSpaceDE w:val="0"/>
        <w:autoSpaceDN w:val="0"/>
        <w:adjustRightInd w:val="0"/>
        <w:rPr>
          <w:rFonts w:cstheme="minorHAnsi"/>
          <w:b/>
          <w:color w:val="2F5496" w:themeColor="accent5" w:themeShade="BF"/>
          <w:sz w:val="24"/>
          <w:lang w:val="de-DE"/>
        </w:rPr>
      </w:pPr>
      <w:r w:rsidRPr="00DF1930">
        <w:rPr>
          <w:rFonts w:cstheme="minorHAnsi"/>
          <w:b/>
          <w:color w:val="2F5496" w:themeColor="accent5" w:themeShade="BF"/>
          <w:sz w:val="24"/>
          <w:lang w:val="de-DE"/>
        </w:rPr>
        <w:t>HLW</w:t>
      </w:r>
    </w:p>
    <w:p w:rsidR="006D7F1D" w:rsidRPr="006D7F1D" w:rsidRDefault="006D7F1D" w:rsidP="006D7F1D">
      <w:pPr>
        <w:autoSpaceDE w:val="0"/>
        <w:autoSpaceDN w:val="0"/>
        <w:adjustRightInd w:val="0"/>
        <w:rPr>
          <w:b/>
          <w:lang w:val="de-DE"/>
        </w:rPr>
      </w:pPr>
      <w:r w:rsidRPr="006D7F1D">
        <w:rPr>
          <w:rFonts w:ascii="Segoe UI Symbol" w:hAnsi="Segoe UI Symbol" w:cs="Segoe UI Symbol"/>
          <w:b/>
          <w:lang w:val="de-DE"/>
        </w:rPr>
        <w:t>✦</w:t>
      </w:r>
      <w:r w:rsidRPr="006D7F1D">
        <w:rPr>
          <w:b/>
          <w:lang w:val="de-DE"/>
        </w:rPr>
        <w:t xml:space="preserve"> </w:t>
      </w:r>
      <w:r>
        <w:rPr>
          <w:b/>
          <w:lang w:val="de-DE"/>
        </w:rPr>
        <w:t xml:space="preserve"> </w:t>
      </w:r>
      <w:r w:rsidRPr="006D7F1D">
        <w:rPr>
          <w:b/>
          <w:lang w:val="de-DE"/>
        </w:rPr>
        <w:t xml:space="preserve">Führe Herzdruckmassage (Kompressionen des Brustkorbs) zwischen 100-120 Mal in der Minute durch; dies gilt für Erwachsene, Kinder und Kleinkinder gleichermaßen. </w:t>
      </w:r>
    </w:p>
    <w:p w:rsidR="006D7F1D" w:rsidRPr="006D7F1D" w:rsidRDefault="006D7F1D" w:rsidP="006D7F1D">
      <w:pPr>
        <w:autoSpaceDE w:val="0"/>
        <w:autoSpaceDN w:val="0"/>
        <w:adjustRightInd w:val="0"/>
        <w:rPr>
          <w:b/>
          <w:lang w:val="de-DE"/>
        </w:rPr>
      </w:pPr>
      <w:r w:rsidRPr="006D7F1D">
        <w:rPr>
          <w:rFonts w:ascii="Segoe UI Symbol" w:hAnsi="Segoe UI Symbol" w:cs="Segoe UI Symbol"/>
          <w:b/>
          <w:lang w:val="de-DE"/>
        </w:rPr>
        <w:t>✦</w:t>
      </w:r>
      <w:r w:rsidRPr="006D7F1D">
        <w:rPr>
          <w:b/>
          <w:lang w:val="de-DE"/>
        </w:rPr>
        <w:t xml:space="preserve"> </w:t>
      </w:r>
      <w:r>
        <w:rPr>
          <w:b/>
          <w:lang w:val="de-DE"/>
        </w:rPr>
        <w:t xml:space="preserve"> </w:t>
      </w:r>
      <w:r w:rsidRPr="006D7F1D">
        <w:rPr>
          <w:b/>
          <w:lang w:val="de-DE"/>
        </w:rPr>
        <w:t xml:space="preserve">Für die Kompressionstiefe gelten 5 cm/2 Zoll bei einem durchschnittlichen Erwachsenen; übermäßige Kompressionstiefen (über 6 cm/2,4 Zoll) sind zu vermeiden. </w:t>
      </w:r>
    </w:p>
    <w:p w:rsidR="006D7F1D" w:rsidRPr="006D7F1D" w:rsidRDefault="006D7F1D" w:rsidP="006D7F1D">
      <w:pPr>
        <w:autoSpaceDE w:val="0"/>
        <w:autoSpaceDN w:val="0"/>
        <w:adjustRightInd w:val="0"/>
        <w:rPr>
          <w:b/>
          <w:lang w:val="de-DE"/>
        </w:rPr>
      </w:pPr>
      <w:r w:rsidRPr="006D7F1D">
        <w:rPr>
          <w:rFonts w:ascii="Segoe UI Symbol" w:hAnsi="Segoe UI Symbol" w:cs="Segoe UI Symbol"/>
          <w:b/>
          <w:lang w:val="de-DE"/>
        </w:rPr>
        <w:t>✦</w:t>
      </w:r>
      <w:r w:rsidRPr="006D7F1D">
        <w:rPr>
          <w:b/>
          <w:lang w:val="de-DE"/>
        </w:rPr>
        <w:t xml:space="preserve"> </w:t>
      </w:r>
      <w:r>
        <w:rPr>
          <w:b/>
          <w:lang w:val="de-DE"/>
        </w:rPr>
        <w:t xml:space="preserve"> </w:t>
      </w:r>
      <w:r w:rsidRPr="006D7F1D">
        <w:rPr>
          <w:b/>
          <w:lang w:val="de-DE"/>
        </w:rPr>
        <w:t xml:space="preserve">Kompressionen des Brustkorbs sollten nicht länger als 10 Sekunden unterbrochen werden. </w:t>
      </w:r>
    </w:p>
    <w:p w:rsidR="006D7F1D" w:rsidRPr="006D7F1D" w:rsidRDefault="006D7F1D" w:rsidP="006D7F1D">
      <w:pPr>
        <w:autoSpaceDE w:val="0"/>
        <w:autoSpaceDN w:val="0"/>
        <w:adjustRightInd w:val="0"/>
        <w:rPr>
          <w:b/>
          <w:lang w:val="de-DE"/>
        </w:rPr>
      </w:pPr>
      <w:r w:rsidRPr="006D7F1D">
        <w:rPr>
          <w:rFonts w:ascii="Segoe UI Symbol" w:hAnsi="Segoe UI Symbol" w:cs="Segoe UI Symbol"/>
          <w:b/>
          <w:lang w:val="de-DE"/>
        </w:rPr>
        <w:t>✦</w:t>
      </w:r>
      <w:r w:rsidRPr="006D7F1D">
        <w:rPr>
          <w:b/>
          <w:lang w:val="de-DE"/>
        </w:rPr>
        <w:t xml:space="preserve"> </w:t>
      </w:r>
      <w:r>
        <w:rPr>
          <w:b/>
          <w:lang w:val="de-DE"/>
        </w:rPr>
        <w:t xml:space="preserve"> </w:t>
      </w:r>
      <w:r w:rsidRPr="006D7F1D">
        <w:rPr>
          <w:b/>
          <w:lang w:val="de-DE"/>
        </w:rPr>
        <w:t xml:space="preserve">Alarmiere bei Schmerzen in der Brust oder anderen Anzeichen eines Herzanfalls immer sofort den Rettungsdienst, statt zu versuchen, die Person in ärztliche Versorgung zu transportieren. </w:t>
      </w:r>
    </w:p>
    <w:p w:rsidR="006D7F1D" w:rsidRDefault="006D7F1D" w:rsidP="006D7F1D">
      <w:pPr>
        <w:autoSpaceDE w:val="0"/>
        <w:autoSpaceDN w:val="0"/>
        <w:adjustRightInd w:val="0"/>
        <w:rPr>
          <w:lang w:val="de-DE"/>
        </w:rPr>
      </w:pPr>
    </w:p>
    <w:p w:rsidR="006D7F1D" w:rsidRDefault="006D7F1D" w:rsidP="006D7F1D">
      <w:pPr>
        <w:autoSpaceDE w:val="0"/>
        <w:autoSpaceDN w:val="0"/>
        <w:adjustRightInd w:val="0"/>
        <w:rPr>
          <w:lang w:val="de-DE"/>
        </w:rPr>
      </w:pPr>
      <w:r w:rsidRPr="006D7F1D">
        <w:rPr>
          <w:lang w:val="de-DE"/>
        </w:rPr>
        <w:t>Zur Verwendung von Wiederbelebungspuppen, die eine Rückmeldung über die Kompressionstiefe und die Kompressionsrate bieten, wird jetzt ermutigt. Andere Ausführungen von Wiederbelebungspuppen sind jedoch weiterhin akzeptabel. Um die Kompressionsrate zu verbessern, solltest du auch akustische Unterstützung in Betracht ziehen (Metronom/Taktmesser oder Musik)</w:t>
      </w:r>
      <w:r>
        <w:rPr>
          <w:lang w:val="de-DE"/>
        </w:rPr>
        <w:t>.</w:t>
      </w:r>
    </w:p>
    <w:p w:rsidR="006D7F1D" w:rsidRDefault="006D7F1D" w:rsidP="006D7F1D">
      <w:pPr>
        <w:autoSpaceDE w:val="0"/>
        <w:autoSpaceDN w:val="0"/>
        <w:adjustRightInd w:val="0"/>
        <w:rPr>
          <w:lang w:val="de-DE"/>
        </w:rPr>
      </w:pPr>
    </w:p>
    <w:p w:rsidR="006D7F1D" w:rsidRDefault="006D7F1D" w:rsidP="006D7F1D">
      <w:pPr>
        <w:autoSpaceDE w:val="0"/>
        <w:autoSpaceDN w:val="0"/>
        <w:adjustRightInd w:val="0"/>
        <w:rPr>
          <w:color w:val="2F5496" w:themeColor="accent5" w:themeShade="BF"/>
          <w:sz w:val="24"/>
          <w:lang w:val="de-DE"/>
        </w:rPr>
      </w:pPr>
      <w:r w:rsidRPr="006D7F1D">
        <w:rPr>
          <w:b/>
          <w:color w:val="2F5496" w:themeColor="accent5" w:themeShade="BF"/>
          <w:sz w:val="24"/>
          <w:lang w:val="de-DE"/>
        </w:rPr>
        <w:t>Diabetische Probleme (niedriger Blutzucker, Hypoglykämie)</w:t>
      </w:r>
      <w:r w:rsidRPr="006D7F1D">
        <w:rPr>
          <w:color w:val="2F5496" w:themeColor="accent5" w:themeShade="BF"/>
          <w:sz w:val="24"/>
          <w:lang w:val="de-DE"/>
        </w:rPr>
        <w:t xml:space="preserve"> </w:t>
      </w:r>
    </w:p>
    <w:p w:rsidR="006D7F1D" w:rsidRDefault="006D7F1D" w:rsidP="006D7F1D">
      <w:pPr>
        <w:autoSpaceDE w:val="0"/>
        <w:autoSpaceDN w:val="0"/>
        <w:adjustRightInd w:val="0"/>
        <w:rPr>
          <w:lang w:val="de-DE"/>
        </w:rPr>
      </w:pPr>
      <w:r w:rsidRPr="006D7F1D">
        <w:rPr>
          <w:rFonts w:ascii="Segoe UI Symbol" w:hAnsi="Segoe UI Symbol" w:cs="Segoe UI Symbol"/>
          <w:lang w:val="de-DE"/>
        </w:rPr>
        <w:t>✦</w:t>
      </w:r>
      <w:r w:rsidRPr="006D7F1D">
        <w:rPr>
          <w:lang w:val="de-DE"/>
        </w:rPr>
        <w:t xml:space="preserve"> Falls eine Person mit Diabetes meint, unterzuckert zu sein oder Anzeichen / Symptome einer leichten Hypoglykämie zeigt, einfachen Anweisungen jedoch folgen und schlucken kann, sollte die Person </w:t>
      </w:r>
      <w:r w:rsidRPr="006D7F1D">
        <w:rPr>
          <w:b/>
          <w:lang w:val="de-DE"/>
        </w:rPr>
        <w:t>oral Glukose (Traubenzucker) einnehmen, um zu versuchen, die Unterzuckerung zu überwinden.</w:t>
      </w:r>
      <w:r w:rsidRPr="006D7F1D">
        <w:rPr>
          <w:lang w:val="de-DE"/>
        </w:rPr>
        <w:t xml:space="preserve"> Falls solche Tabletten nicht zur Verfügung stehen, kannst du versuchen, der Person Fruchtsaft, Limonade, süße Bonbons o.ä. anzubieten, falls verfügbar. </w:t>
      </w:r>
    </w:p>
    <w:p w:rsidR="006D7F1D" w:rsidRDefault="006D7F1D" w:rsidP="006D7F1D">
      <w:pPr>
        <w:autoSpaceDE w:val="0"/>
        <w:autoSpaceDN w:val="0"/>
        <w:adjustRightInd w:val="0"/>
        <w:rPr>
          <w:lang w:val="de-DE"/>
        </w:rPr>
      </w:pPr>
      <w:r w:rsidRPr="006D7F1D">
        <w:rPr>
          <w:rFonts w:ascii="Segoe UI Symbol" w:hAnsi="Segoe UI Symbol" w:cs="Segoe UI Symbol"/>
          <w:lang w:val="de-DE"/>
        </w:rPr>
        <w:t>✦</w:t>
      </w:r>
      <w:r w:rsidRPr="006D7F1D">
        <w:rPr>
          <w:lang w:val="de-DE"/>
        </w:rPr>
        <w:t xml:space="preserve"> Es kann 10 bis 15 Minuten dauern, bis nach der Einnahme von Traubenzucker oder anderen zuckerhaltigen Nahrungsmitteln keine Symptome mehr vorhanden sind. Notfallhelfer sollten mindestens 10 bis 15 Minuten warten, bevor sie den Rettungsdienst alarmieren und eine unterzuckerte Person erneut oral mit Glukose oder anderen zuckerhaltigen Nahrungsmitteln versorgen. Falls sich in dieser Zeit der Zustand der Person verschlechtert oder nicht verbessert, alarmiere den Rettungsdienst. </w:t>
      </w:r>
    </w:p>
    <w:p w:rsidR="006D7F1D" w:rsidRDefault="006D7F1D" w:rsidP="006D7F1D">
      <w:pPr>
        <w:autoSpaceDE w:val="0"/>
        <w:autoSpaceDN w:val="0"/>
        <w:adjustRightInd w:val="0"/>
        <w:rPr>
          <w:lang w:val="de-DE"/>
        </w:rPr>
      </w:pPr>
    </w:p>
    <w:p w:rsidR="006D7F1D" w:rsidRPr="006D7F1D" w:rsidRDefault="006D7F1D" w:rsidP="006D7F1D">
      <w:pPr>
        <w:autoSpaceDE w:val="0"/>
        <w:autoSpaceDN w:val="0"/>
        <w:adjustRightInd w:val="0"/>
        <w:rPr>
          <w:b/>
          <w:color w:val="2F5496" w:themeColor="accent5" w:themeShade="BF"/>
          <w:sz w:val="24"/>
          <w:lang w:val="de-DE"/>
        </w:rPr>
      </w:pPr>
      <w:r w:rsidRPr="006D7F1D">
        <w:rPr>
          <w:b/>
          <w:color w:val="2F5496" w:themeColor="accent5" w:themeShade="BF"/>
          <w:sz w:val="24"/>
          <w:lang w:val="de-DE"/>
        </w:rPr>
        <w:t xml:space="preserve">Ernste Blutungen </w:t>
      </w:r>
    </w:p>
    <w:p w:rsidR="006D7F1D" w:rsidRDefault="006D7F1D" w:rsidP="006D7F1D">
      <w:pPr>
        <w:autoSpaceDE w:val="0"/>
        <w:autoSpaceDN w:val="0"/>
        <w:adjustRightInd w:val="0"/>
        <w:rPr>
          <w:lang w:val="de-DE"/>
        </w:rPr>
      </w:pPr>
      <w:r w:rsidRPr="006D7F1D">
        <w:rPr>
          <w:rFonts w:ascii="Segoe UI Symbol" w:hAnsi="Segoe UI Symbol" w:cs="Segoe UI Symbol"/>
          <w:lang w:val="de-DE"/>
        </w:rPr>
        <w:t>✦</w:t>
      </w:r>
      <w:r w:rsidRPr="006D7F1D">
        <w:rPr>
          <w:lang w:val="de-DE"/>
        </w:rPr>
        <w:t xml:space="preserve"> </w:t>
      </w:r>
      <w:r w:rsidRPr="006D7F1D">
        <w:rPr>
          <w:b/>
          <w:lang w:val="de-DE"/>
        </w:rPr>
        <w:t>Ein Tourniquet (Aderpresse) kann nun für die Erstversorgung in Betracht gezogen werden, wenn ein Notfallhelfer mittels direktem Druck auf die Wunde eine Blutung nicht unter Kontrolle bringt;</w:t>
      </w:r>
      <w:r w:rsidRPr="006D7F1D">
        <w:rPr>
          <w:lang w:val="de-DE"/>
        </w:rPr>
        <w:t xml:space="preserve"> etwa bei einem Massenunfall, wenn mehrere Körpersysteme einer Person verletzt wurden, in einer unsicheren </w:t>
      </w:r>
      <w:r w:rsidRPr="006D7F1D">
        <w:rPr>
          <w:lang w:val="de-DE"/>
        </w:rPr>
        <w:lastRenderedPageBreak/>
        <w:t xml:space="preserve">Umgebung oder bei einer Wunde, die unzugänglich ist. Es hat sich gezeigt, dass bei starken Blutungen an Gliedmaßen solche Aderpressen (auch Arterienabbinder genannt) effektiv sein können. </w:t>
      </w:r>
    </w:p>
    <w:p w:rsidR="006D7F1D" w:rsidRDefault="006D7F1D" w:rsidP="006D7F1D">
      <w:pPr>
        <w:autoSpaceDE w:val="0"/>
        <w:autoSpaceDN w:val="0"/>
        <w:adjustRightInd w:val="0"/>
        <w:rPr>
          <w:lang w:val="de-DE"/>
        </w:rPr>
      </w:pPr>
      <w:r w:rsidRPr="006D7F1D">
        <w:rPr>
          <w:rFonts w:ascii="Segoe UI Symbol" w:hAnsi="Segoe UI Symbol" w:cs="Segoe UI Symbol"/>
          <w:lang w:val="de-DE"/>
        </w:rPr>
        <w:t>✦</w:t>
      </w:r>
      <w:r w:rsidRPr="006D7F1D">
        <w:rPr>
          <w:lang w:val="de-DE"/>
        </w:rPr>
        <w:t xml:space="preserve"> Notiere die Uhrzeit, zu der eine Aderpresse zum ersten Mal angewandt wurde und gib diese Information an das Rettungspersonal weiter. </w:t>
      </w:r>
    </w:p>
    <w:p w:rsidR="00DF1930" w:rsidRDefault="006D7F1D" w:rsidP="006D7F1D">
      <w:pPr>
        <w:autoSpaceDE w:val="0"/>
        <w:autoSpaceDN w:val="0"/>
        <w:adjustRightInd w:val="0"/>
        <w:rPr>
          <w:lang w:val="de-DE"/>
        </w:rPr>
      </w:pPr>
      <w:r w:rsidRPr="006D7F1D">
        <w:rPr>
          <w:lang w:val="de-DE"/>
        </w:rPr>
        <w:t xml:space="preserve">Es wurde festgestellt, dass mit Aderpressen, die am Unfallort angewendet wurden, Blutungen in den meisten Fällen auf effektive Weise unter Kontrolle gebracht werden konnten, mit nur wenigen Komplikationen. </w:t>
      </w:r>
    </w:p>
    <w:p w:rsidR="00DF1930" w:rsidRDefault="00DF1930" w:rsidP="006D7F1D">
      <w:pPr>
        <w:autoSpaceDE w:val="0"/>
        <w:autoSpaceDN w:val="0"/>
        <w:adjustRightInd w:val="0"/>
        <w:rPr>
          <w:lang w:val="de-DE"/>
        </w:rPr>
      </w:pPr>
    </w:p>
    <w:p w:rsidR="00DF1930" w:rsidRDefault="006D7F1D" w:rsidP="006D7F1D">
      <w:pPr>
        <w:autoSpaceDE w:val="0"/>
        <w:autoSpaceDN w:val="0"/>
        <w:adjustRightInd w:val="0"/>
        <w:rPr>
          <w:b/>
          <w:color w:val="2F5496" w:themeColor="accent5" w:themeShade="BF"/>
          <w:sz w:val="24"/>
          <w:lang w:val="de-DE"/>
        </w:rPr>
      </w:pPr>
      <w:r w:rsidRPr="00DF1930">
        <w:rPr>
          <w:b/>
          <w:color w:val="2F5496" w:themeColor="accent5" w:themeShade="BF"/>
          <w:sz w:val="24"/>
          <w:lang w:val="de-DE"/>
        </w:rPr>
        <w:t xml:space="preserve">Verbrennungen </w:t>
      </w:r>
    </w:p>
    <w:p w:rsidR="00DF1930" w:rsidRDefault="006D7F1D" w:rsidP="006D7F1D">
      <w:pPr>
        <w:autoSpaceDE w:val="0"/>
        <w:autoSpaceDN w:val="0"/>
        <w:adjustRightInd w:val="0"/>
        <w:rPr>
          <w:lang w:val="de-DE"/>
        </w:rPr>
      </w:pPr>
      <w:r w:rsidRPr="00DF1930">
        <w:rPr>
          <w:rFonts w:ascii="Segoe UI Symbol" w:hAnsi="Segoe UI Symbol" w:cs="Segoe UI Symbol"/>
          <w:b/>
          <w:lang w:val="de-DE"/>
        </w:rPr>
        <w:t>✦</w:t>
      </w:r>
      <w:r w:rsidRPr="00DF1930">
        <w:rPr>
          <w:b/>
          <w:lang w:val="de-DE"/>
        </w:rPr>
        <w:t xml:space="preserve"> Falls kühles oder kaltes Wasser nicht zur Verfügung steht, kann eine kühle oder kalte aber nicht gefrorene Kompresse zum Kühlen von Verbrennungen als Ersatz dienen.</w:t>
      </w:r>
      <w:r w:rsidRPr="006D7F1D">
        <w:rPr>
          <w:lang w:val="de-DE"/>
        </w:rPr>
        <w:t xml:space="preserve"> Beim Kühlen großer Verbrennungen sollte darauf geachtet werden, dass es nicht zu Hypothermie (Unterkühlung) kommt. </w:t>
      </w:r>
    </w:p>
    <w:p w:rsidR="00DF1930" w:rsidRDefault="00DF1930" w:rsidP="006D7F1D">
      <w:pPr>
        <w:autoSpaceDE w:val="0"/>
        <w:autoSpaceDN w:val="0"/>
        <w:adjustRightInd w:val="0"/>
        <w:rPr>
          <w:lang w:val="de-DE"/>
        </w:rPr>
      </w:pPr>
    </w:p>
    <w:p w:rsidR="00DF1930" w:rsidRDefault="006D7F1D" w:rsidP="006D7F1D">
      <w:pPr>
        <w:autoSpaceDE w:val="0"/>
        <w:autoSpaceDN w:val="0"/>
        <w:adjustRightInd w:val="0"/>
        <w:rPr>
          <w:lang w:val="de-DE"/>
        </w:rPr>
      </w:pPr>
      <w:r w:rsidRPr="006D7F1D">
        <w:rPr>
          <w:lang w:val="de-DE"/>
        </w:rPr>
        <w:t xml:space="preserve">Diese Änderungen kannst du ab sofort in deine Kurse einbeziehen. Die verbindliche Einführung dieser Änderungen muss spätestens bis zum 31. März 2016 erfolgen. Damit die EFR und PADI Kurse aktuell und international anwendbar bleiben, werden die Kursmaterialien unter Berücksichtigung dieser jüngsten Leitlinien revidiert. </w:t>
      </w:r>
    </w:p>
    <w:p w:rsidR="00DF1930" w:rsidRDefault="006D7F1D" w:rsidP="00DF1930">
      <w:pPr>
        <w:autoSpaceDE w:val="0"/>
        <w:autoSpaceDN w:val="0"/>
        <w:adjustRightInd w:val="0"/>
        <w:ind w:firstLine="720"/>
        <w:rPr>
          <w:lang w:val="de-DE"/>
        </w:rPr>
      </w:pPr>
      <w:r w:rsidRPr="006D7F1D">
        <w:rPr>
          <w:lang w:val="de-DE"/>
        </w:rPr>
        <w:t xml:space="preserve">Um dich beim Aktualisieren deiner EFR Kenntnisse und Unterrichtsmethoden zu unterstützen, findest du auf den EFR und PADI Pros‘ Seiten einige kostenlose Aufzeichnungen von Webinars in verschiedenen Sprachen. </w:t>
      </w:r>
    </w:p>
    <w:p w:rsidR="00DF1930" w:rsidRDefault="006D7F1D" w:rsidP="00DF1930">
      <w:pPr>
        <w:autoSpaceDE w:val="0"/>
        <w:autoSpaceDN w:val="0"/>
        <w:adjustRightInd w:val="0"/>
        <w:ind w:firstLine="720"/>
        <w:rPr>
          <w:lang w:val="de-DE"/>
        </w:rPr>
      </w:pPr>
      <w:r w:rsidRPr="006D7F1D">
        <w:rPr>
          <w:lang w:val="de-DE"/>
        </w:rPr>
        <w:t xml:space="preserve">Sobald Leitlinien nationaler ILCOR-Mitglieder zur Verfügung stehen, wirst du detailliertere Informationen darüber im The Responder finden, einschl. ihrer Geltung für EFR und PADI Kurse. </w:t>
      </w:r>
    </w:p>
    <w:p w:rsidR="006D7F1D" w:rsidRPr="006D7F1D" w:rsidRDefault="006D7F1D" w:rsidP="00DF1930">
      <w:pPr>
        <w:autoSpaceDE w:val="0"/>
        <w:autoSpaceDN w:val="0"/>
        <w:adjustRightInd w:val="0"/>
        <w:ind w:firstLine="720"/>
        <w:rPr>
          <w:lang w:val="de-DE"/>
        </w:rPr>
      </w:pPr>
      <w:r w:rsidRPr="006D7F1D">
        <w:rPr>
          <w:lang w:val="de-DE"/>
        </w:rPr>
        <w:t xml:space="preserve">Die vollständigen Leitlinien 2015 der American Heart Association für HLW und Herz-Kreislauf-Notfälle (ECC) sowie das ILCOR Dokument finden sich in der Zeitschrift Circulation: </w:t>
      </w:r>
      <w:hyperlink r:id="rId5" w:history="1">
        <w:r w:rsidR="00DF1930" w:rsidRPr="00170632">
          <w:rPr>
            <w:rStyle w:val="Hyperlink"/>
            <w:lang w:val="de-DE"/>
          </w:rPr>
          <w:t>http://circ.ahajournals.org/content/132/16_suppl_1.toc</w:t>
        </w:r>
      </w:hyperlink>
      <w:r w:rsidRPr="006D7F1D">
        <w:rPr>
          <w:lang w:val="de-DE"/>
        </w:rPr>
        <w:t>;</w:t>
      </w:r>
      <w:r w:rsidR="00DF1930">
        <w:rPr>
          <w:lang w:val="de-DE"/>
        </w:rPr>
        <w:t xml:space="preserve"> </w:t>
      </w:r>
      <w:r w:rsidRPr="006D7F1D">
        <w:rPr>
          <w:lang w:val="de-DE"/>
        </w:rPr>
        <w:t xml:space="preserve">die Leitlinien 2015 des ERC (European Resuscitation Council – Deutscher Rat für Wiederbelebung, grc-org.de) findest du hier: </w:t>
      </w:r>
      <w:hyperlink r:id="rId6" w:history="1">
        <w:r w:rsidR="00DF1930" w:rsidRPr="00170632">
          <w:rPr>
            <w:rStyle w:val="Hyperlink"/>
            <w:lang w:val="de-DE"/>
          </w:rPr>
          <w:t>www.cprguidelines.eu</w:t>
        </w:r>
      </w:hyperlink>
      <w:r w:rsidRPr="006D7F1D">
        <w:rPr>
          <w:lang w:val="de-DE"/>
        </w:rPr>
        <w:t>.</w:t>
      </w:r>
      <w:r w:rsidR="00DF1930">
        <w:rPr>
          <w:lang w:val="de-DE"/>
        </w:rPr>
        <w:t xml:space="preserve"> </w:t>
      </w:r>
    </w:p>
    <w:p w:rsidR="006D7F1D" w:rsidRDefault="006D7F1D" w:rsidP="00DF1930">
      <w:pPr>
        <w:autoSpaceDE w:val="0"/>
        <w:autoSpaceDN w:val="0"/>
        <w:adjustRightInd w:val="0"/>
        <w:rPr>
          <w:rFonts w:ascii="AGaramond-Regular" w:hAnsi="AGaramond-Regular" w:cs="AGaramond-Regular"/>
          <w:color w:val="000000"/>
          <w:lang w:val="de-DE"/>
        </w:rPr>
      </w:pPr>
      <w:r w:rsidRPr="006D7F1D">
        <w:rPr>
          <w:rFonts w:ascii="AGaramond-Regular" w:hAnsi="AGaramond-Regular" w:cs="AGaramond-Regular"/>
          <w:color w:val="000000"/>
          <w:lang w:val="de-DE"/>
        </w:rPr>
        <w:t xml:space="preserve">            </w:t>
      </w:r>
      <w:r w:rsidR="00DF1930">
        <w:rPr>
          <w:rFonts w:ascii="AGaramond-Regular" w:hAnsi="AGaramond-Regular" w:cs="AGaramond-Regular"/>
          <w:color w:val="000000"/>
          <w:lang w:val="de-DE"/>
        </w:rPr>
        <w:t xml:space="preserve">                              </w:t>
      </w:r>
    </w:p>
    <w:p w:rsidR="006D7F1D" w:rsidRPr="00635FFE" w:rsidRDefault="00DF1930" w:rsidP="006D7F1D">
      <w:pPr>
        <w:rPr>
          <w:color w:val="FF0000"/>
        </w:rPr>
      </w:pPr>
      <w:r w:rsidRPr="00DF1930">
        <w:rPr>
          <w:rFonts w:cstheme="minorHAnsi"/>
          <w:color w:val="FF0000"/>
          <w:sz w:val="24"/>
          <w:szCs w:val="24"/>
        </w:rPr>
        <w:t>Drites Quartal</w:t>
      </w:r>
      <w:r w:rsidR="006D7F1D" w:rsidRPr="00635FFE">
        <w:rPr>
          <w:color w:val="FF0000"/>
        </w:rPr>
        <w:t xml:space="preserve"> 2016</w:t>
      </w:r>
    </w:p>
    <w:p w:rsidR="006D7F1D" w:rsidRPr="00DF1930" w:rsidRDefault="00DF1930" w:rsidP="006D7F1D">
      <w:pPr>
        <w:autoSpaceDE w:val="0"/>
        <w:autoSpaceDN w:val="0"/>
        <w:adjustRightInd w:val="0"/>
        <w:rPr>
          <w:rFonts w:ascii="FuturaLT-Bold" w:hAnsi="FuturaLT-Bold" w:cs="FuturaLT-Bold"/>
          <w:b/>
          <w:bCs/>
          <w:color w:val="2F5496" w:themeColor="accent5" w:themeShade="BF"/>
          <w:sz w:val="42"/>
          <w:szCs w:val="36"/>
        </w:rPr>
      </w:pPr>
      <w:r w:rsidRPr="00DF1930">
        <w:rPr>
          <w:b/>
          <w:color w:val="2F5496" w:themeColor="accent5" w:themeShade="BF"/>
          <w:sz w:val="32"/>
        </w:rPr>
        <w:t>Neuer Emergency First Response® Instructor Guide Errata verfügbar</w:t>
      </w:r>
    </w:p>
    <w:p w:rsidR="006D7F1D" w:rsidRDefault="00DF1930" w:rsidP="006D7F1D">
      <w:pPr>
        <w:rPr>
          <w:lang w:val="de-DE"/>
        </w:rPr>
      </w:pPr>
      <w:r w:rsidRPr="00DF1930">
        <w:rPr>
          <w:lang w:val="de-DE"/>
        </w:rPr>
        <w:t>Stelle sicher, dass deine Emergency First Response (EFR) Instructor Guides up-to-date sind, indem du dir den 2016 Errata auf der EFR und PADI Pros’ Seite anschaust. Dieses Dokument fasst die Änderungen in den Instructor Guides zusammen, die sich aus den ILCOR Guidelines 2015 ergeben haben. Entsprechende Updates für die englischen Versionen der Manuals für den Kursteilnehmer für die Kurse Emergency First Response Primary Care (Erstversorgung) und Secondary Care (Zweitversorgung) stehen jetzt ebenfalls zur Verfügung. Die EFR Quick Reference Card, das Care for Children Participant Manual und die CPR (HLW)/AED Manuals werden demnächst aktualisiert.</w:t>
      </w:r>
    </w:p>
    <w:p w:rsidR="00DF1930" w:rsidRPr="00DF1930" w:rsidRDefault="00DF1930" w:rsidP="006D7F1D">
      <w:pPr>
        <w:rPr>
          <w:rFonts w:ascii="AGaramond-Regular" w:hAnsi="AGaramond-Regular" w:cs="AGaramond-Regular"/>
          <w:color w:val="000000"/>
          <w:lang w:val="de-DE"/>
        </w:rPr>
      </w:pPr>
    </w:p>
    <w:p w:rsidR="006D7F1D" w:rsidRPr="00DF1930" w:rsidRDefault="00DF1930" w:rsidP="006D7F1D">
      <w:pPr>
        <w:rPr>
          <w:rFonts w:cstheme="minorHAnsi"/>
          <w:color w:val="FF0000"/>
          <w:lang w:val="de-DE"/>
        </w:rPr>
      </w:pPr>
      <w:r w:rsidRPr="00DF1930">
        <w:rPr>
          <w:rFonts w:cstheme="minorHAnsi"/>
          <w:color w:val="FF0000"/>
          <w:lang w:val="de-DE"/>
        </w:rPr>
        <w:t>Viertes Quartal</w:t>
      </w:r>
      <w:r w:rsidR="006D7F1D" w:rsidRPr="00DF1930">
        <w:rPr>
          <w:rFonts w:cstheme="minorHAnsi"/>
          <w:color w:val="FF0000"/>
          <w:lang w:val="de-DE"/>
        </w:rPr>
        <w:t xml:space="preserve"> 2016</w:t>
      </w:r>
    </w:p>
    <w:p w:rsidR="00DF1930" w:rsidRDefault="00DF1930" w:rsidP="006D7F1D">
      <w:pPr>
        <w:autoSpaceDE w:val="0"/>
        <w:autoSpaceDN w:val="0"/>
        <w:adjustRightInd w:val="0"/>
        <w:rPr>
          <w:b/>
        </w:rPr>
      </w:pPr>
      <w:r w:rsidRPr="00DF1930">
        <w:rPr>
          <w:b/>
          <w:lang w:val="de-DE"/>
        </w:rPr>
        <w:t xml:space="preserve">F. </w:t>
      </w:r>
      <w:r w:rsidRPr="00DF1930">
        <w:rPr>
          <w:b/>
          <w:lang w:val="de-DE"/>
        </w:rPr>
        <w:t xml:space="preserve">In Emergency First Response® (EFR®) Kursen wird erwähnt, dass auch Kompressionen des Brustkorbs alleine (d. h. ohne zu beatmen) hilfreich sein können, falls ein Notfallhelfer aus irgendeinem Grund bei einem echten Notfall, der HLW erfordert, keine Beatmung durchführen kann oder möchte. </w:t>
      </w:r>
      <w:r w:rsidRPr="00DF1930">
        <w:rPr>
          <w:b/>
        </w:rPr>
        <w:t>Was bedeutet dies bzgl. HLW in Fällen von Ertrinken?</w:t>
      </w:r>
    </w:p>
    <w:p w:rsidR="00DF1930" w:rsidRDefault="006D7F1D" w:rsidP="00DF1930">
      <w:pPr>
        <w:autoSpaceDE w:val="0"/>
        <w:autoSpaceDN w:val="0"/>
        <w:adjustRightInd w:val="0"/>
        <w:rPr>
          <w:lang w:val="de-DE"/>
        </w:rPr>
      </w:pPr>
      <w:r w:rsidRPr="00DF1930">
        <w:rPr>
          <w:rFonts w:ascii="FuturaLT" w:hAnsi="FuturaLT" w:cs="FuturaLT"/>
          <w:sz w:val="20"/>
          <w:szCs w:val="20"/>
          <w:lang w:val="de-DE"/>
        </w:rPr>
        <w:t xml:space="preserve">A. </w:t>
      </w:r>
      <w:r w:rsidR="00DF1930" w:rsidRPr="00DF1930">
        <w:rPr>
          <w:lang w:val="de-DE"/>
        </w:rPr>
        <w:t xml:space="preserve">In Fällen von Ertrinken wird dringend nahegelegt, das Opfer zu beatmen. Weil bei Tauchunfällen oft der Verdacht besteht, dass das Opfer längere Zeit nicht geatmet hat, ist in der Tauchrettung das Beatmen nach wie vor eine wichtige Fertigkeit. Der PADI Rescue Diver Kurs lehrt Taucher, im Wasser zu beatmen und mit HLW zu beginnen, sobald sie sich auf einer stabilen Unterlage befinden – dies </w:t>
      </w:r>
      <w:r w:rsidR="00DF1930" w:rsidRPr="00DF1930">
        <w:rPr>
          <w:lang w:val="de-DE"/>
        </w:rPr>
        <w:lastRenderedPageBreak/>
        <w:t>bedeutet, dass einem nicht-atmenden Opfer eines Tauchunfalls sowohl mittels Beatmen als auch Kompressionen des Brustkorbs geholfen werden soll. In vielen Ländern ist bei Verdacht auf Ertrinken sofort HLW anzuwenden, falls möglich, und zwar zuerst Beatmungen, da</w:t>
      </w:r>
      <w:r w:rsidR="00DF1930" w:rsidRPr="00DF1930">
        <w:rPr>
          <w:lang w:val="de-DE"/>
        </w:rPr>
        <w:t xml:space="preserve">nn Kompressionen des Brustkorbs. </w:t>
      </w:r>
    </w:p>
    <w:p w:rsidR="003318A1" w:rsidRDefault="00DF1930" w:rsidP="00DF1930">
      <w:pPr>
        <w:autoSpaceDE w:val="0"/>
        <w:autoSpaceDN w:val="0"/>
        <w:adjustRightInd w:val="0"/>
        <w:rPr>
          <w:lang w:val="de-DE"/>
        </w:rPr>
      </w:pPr>
      <w:r>
        <w:rPr>
          <w:lang w:val="de-DE"/>
        </w:rPr>
        <w:tab/>
      </w:r>
      <w:r w:rsidRPr="00DF1930">
        <w:rPr>
          <w:lang w:val="de-DE"/>
        </w:rPr>
        <w:t xml:space="preserve">In anderen Ländern, die in ILCOR zusammengeschlossen sind, wird ebenfalls die Notwendigkeit des Beatmens in Fällen von Ertrinken betont, aber der Beginn von HLW wird nicht genauer spezifiziert. Unter medizinischen Experten gibt es unterschiedliche Meinungen darüber, inwieweit es bei Ertrinken eine Rolle spielt, dass das Opfer zuerst beatmet wird, aber alle stimmen darin überein, dass so schnell wie möglich mit HLW (d. h. mit Beatmungen und Kompressionen des Brustkorbs) begonnen werden sollte. </w:t>
      </w:r>
    </w:p>
    <w:p w:rsidR="00DF1930" w:rsidRPr="00DF1930" w:rsidRDefault="00DF1930" w:rsidP="003318A1">
      <w:pPr>
        <w:autoSpaceDE w:val="0"/>
        <w:autoSpaceDN w:val="0"/>
        <w:adjustRightInd w:val="0"/>
        <w:ind w:firstLine="720"/>
        <w:rPr>
          <w:lang w:val="de-DE"/>
        </w:rPr>
      </w:pPr>
      <w:r w:rsidRPr="00DF1930">
        <w:rPr>
          <w:lang w:val="de-DE"/>
        </w:rPr>
        <w:t>Kompressionen des Brustkorbs zusammen mit Beatmungen sind weiterhin die Standard</w:t>
      </w:r>
      <w:r w:rsidR="003318A1">
        <w:rPr>
          <w:lang w:val="de-DE"/>
        </w:rPr>
        <w:t xml:space="preserve">- </w:t>
      </w:r>
      <w:r w:rsidRPr="00DF1930">
        <w:rPr>
          <w:lang w:val="de-DE"/>
        </w:rPr>
        <w:t>Notfallhilfe für HLW durch Laien-Notfallhelfer (denn es ist die beste Chance, dass es gut ausgeht), und dies ist der Grund dafür, warum in EFR Kursen beide Fertigkeiten als HLW in zwei Schritten unterrichtet werden. Kompressionen des Brustkorbs alleine, d. h. ohne zu Beatmen, sind bei einem nicht-atmenden Patienten nicht ideal, aber falls der Retter aus irgendwelchen Gründen nicht beatmen kann oder Angst hat, es zu tun, werden auch nur Kompressionen des Brustkorbs als nützlich angesehen.</w:t>
      </w:r>
    </w:p>
    <w:p w:rsidR="00DF1930" w:rsidRPr="00DF1930" w:rsidRDefault="00DF1930" w:rsidP="00DF1930">
      <w:pPr>
        <w:autoSpaceDE w:val="0"/>
        <w:autoSpaceDN w:val="0"/>
        <w:adjustRightInd w:val="0"/>
        <w:rPr>
          <w:lang w:val="de-DE"/>
        </w:rPr>
      </w:pPr>
    </w:p>
    <w:p w:rsidR="006D7F1D" w:rsidRPr="003318A1" w:rsidRDefault="003318A1" w:rsidP="003318A1">
      <w:pPr>
        <w:rPr>
          <w:rFonts w:cstheme="minorHAnsi"/>
          <w:color w:val="FF0000"/>
          <w:lang w:val="de-DE"/>
        </w:rPr>
      </w:pPr>
      <w:r w:rsidRPr="003318A1">
        <w:rPr>
          <w:rFonts w:cstheme="minorHAnsi"/>
          <w:color w:val="FF0000"/>
          <w:lang w:val="de-DE"/>
        </w:rPr>
        <w:t>Viertes Quartal 2018</w:t>
      </w:r>
      <w:r w:rsidR="006D7F1D" w:rsidRPr="003318A1">
        <w:rPr>
          <w:rFonts w:cstheme="minorHAnsi"/>
          <w:b/>
          <w:bCs/>
          <w:color w:val="FFFFFF"/>
          <w:sz w:val="42"/>
          <w:szCs w:val="42"/>
          <w:lang w:val="de-DE"/>
        </w:rPr>
        <w:t>RECTIONS</w:t>
      </w:r>
    </w:p>
    <w:p w:rsidR="003318A1" w:rsidRPr="003318A1" w:rsidRDefault="003318A1" w:rsidP="006D7F1D">
      <w:pPr>
        <w:autoSpaceDE w:val="0"/>
        <w:autoSpaceDN w:val="0"/>
        <w:adjustRightInd w:val="0"/>
        <w:rPr>
          <w:b/>
          <w:color w:val="2F5496" w:themeColor="accent5" w:themeShade="BF"/>
          <w:sz w:val="32"/>
          <w:lang w:val="de-DE"/>
        </w:rPr>
      </w:pPr>
      <w:r w:rsidRPr="003318A1">
        <w:rPr>
          <w:b/>
          <w:color w:val="2F5496" w:themeColor="accent5" w:themeShade="BF"/>
          <w:sz w:val="32"/>
          <w:lang w:val="de-DE"/>
        </w:rPr>
        <w:t>ILCOR KO</w:t>
      </w:r>
      <w:bookmarkStart w:id="0" w:name="_GoBack"/>
      <w:bookmarkEnd w:id="0"/>
      <w:r w:rsidRPr="003318A1">
        <w:rPr>
          <w:b/>
          <w:color w:val="2F5496" w:themeColor="accent5" w:themeShade="BF"/>
          <w:sz w:val="32"/>
          <w:lang w:val="de-DE"/>
        </w:rPr>
        <w:t>NSENS MÄRZ 2018</w:t>
      </w:r>
    </w:p>
    <w:p w:rsidR="003318A1" w:rsidRDefault="003318A1" w:rsidP="006D7F1D">
      <w:pPr>
        <w:autoSpaceDE w:val="0"/>
        <w:autoSpaceDN w:val="0"/>
        <w:adjustRightInd w:val="0"/>
        <w:rPr>
          <w:lang w:val="de-DE"/>
        </w:rPr>
      </w:pPr>
      <w:r w:rsidRPr="003318A1">
        <w:rPr>
          <w:lang w:val="de-DE"/>
        </w:rPr>
        <w:t xml:space="preserve">Emergency First Response und PADI Kurse sind in Übereinstimmung mit der aktuellen Forschung und den Behandlungsempfehlengen der Notfallversorgung. Die aktuellsten Informationen bedeuten, dass in den EFR Kursen keine Änderungen der HLW Verfahren nötig sind. </w:t>
      </w:r>
    </w:p>
    <w:p w:rsidR="003318A1" w:rsidRDefault="003318A1" w:rsidP="003318A1">
      <w:pPr>
        <w:autoSpaceDE w:val="0"/>
        <w:autoSpaceDN w:val="0"/>
        <w:adjustRightInd w:val="0"/>
        <w:ind w:firstLine="720"/>
        <w:rPr>
          <w:lang w:val="de-DE"/>
        </w:rPr>
      </w:pPr>
      <w:r w:rsidRPr="003318A1">
        <w:rPr>
          <w:lang w:val="de-DE"/>
        </w:rPr>
        <w:t xml:space="preserve">Nach Prüfung der gegenwärtigen Wissenschaft und Forschung hat ILCOR (International Liaison Committee on Resuscitation) in seinem jüngsten Konsens-Beschluss (Consensus on Science and Treatment Recommendations) befunden, dass bei der Ersthelfer-HLW keinerlei Änderungen erforderlich sind. Diese aktuellen ILCOR-Empfehlungen finden sich im Original in der Zeitschrift Resuscitation 121 (2017) 201-214 sowie auf Deutsch zusammengefasst wie folgt: </w:t>
      </w:r>
    </w:p>
    <w:p w:rsidR="003318A1" w:rsidRPr="003318A1" w:rsidRDefault="003318A1" w:rsidP="003318A1">
      <w:pPr>
        <w:pStyle w:val="ListParagraph"/>
        <w:numPr>
          <w:ilvl w:val="0"/>
          <w:numId w:val="2"/>
        </w:numPr>
        <w:autoSpaceDE w:val="0"/>
        <w:autoSpaceDN w:val="0"/>
        <w:adjustRightInd w:val="0"/>
        <w:rPr>
          <w:i/>
          <w:iCs/>
          <w:color w:val="000000"/>
          <w:sz w:val="20"/>
          <w:szCs w:val="20"/>
          <w:lang w:val="de-DE"/>
        </w:rPr>
      </w:pPr>
      <w:r w:rsidRPr="003318A1">
        <w:rPr>
          <w:lang w:val="en-GB"/>
        </w:rPr>
        <w:t xml:space="preserve">We continue to recommend that bystanders perform chest compressions for all patients in cardiac arrest. </w:t>
      </w:r>
      <w:r w:rsidRPr="003318A1">
        <w:rPr>
          <w:i/>
          <w:lang w:val="de-DE"/>
        </w:rPr>
        <w:t>(Ersthelfer sollten bei Patienten mit Herzstillstand Kompres</w:t>
      </w:r>
      <w:r w:rsidRPr="003318A1">
        <w:rPr>
          <w:i/>
          <w:lang w:val="de-DE"/>
        </w:rPr>
        <w:t>sionen des Brustkorbs ausführen.)</w:t>
      </w:r>
      <w:r w:rsidRPr="003318A1">
        <w:rPr>
          <w:i/>
          <w:lang w:val="de-DE"/>
        </w:rPr>
        <w:t xml:space="preserve"> </w:t>
      </w:r>
      <w:r w:rsidRPr="003318A1">
        <w:rPr>
          <w:i/>
          <w:lang w:val="de-DE"/>
        </w:rPr>
        <w:br/>
      </w:r>
      <w:r>
        <w:t xml:space="preserve">We suggest that bystanders who are trained, able, and willing to give rescue breaths and chest compressions do so for all adult patients in cardiac arrest. </w:t>
      </w:r>
      <w:r w:rsidRPr="003318A1">
        <w:rPr>
          <w:i/>
          <w:lang w:val="de-DE"/>
        </w:rPr>
        <w:t xml:space="preserve">(Wer entsprechend ausgebildet, in der Lage und bereit dazu ist, sollte erwachsenen Patienten mit Herzstillstand durch Atemspende und Kompressionen </w:t>
      </w:r>
      <w:r w:rsidRPr="003318A1">
        <w:rPr>
          <w:i/>
          <w:lang w:val="de-DE"/>
        </w:rPr>
        <w:t xml:space="preserve">des Brustkorbs Hilfe leisten.) </w:t>
      </w:r>
    </w:p>
    <w:p w:rsidR="003318A1" w:rsidRPr="003318A1" w:rsidRDefault="003318A1" w:rsidP="003318A1">
      <w:pPr>
        <w:pStyle w:val="ListParagraph"/>
        <w:numPr>
          <w:ilvl w:val="0"/>
          <w:numId w:val="2"/>
        </w:numPr>
        <w:autoSpaceDE w:val="0"/>
        <w:autoSpaceDN w:val="0"/>
        <w:adjustRightInd w:val="0"/>
        <w:rPr>
          <w:i/>
          <w:iCs/>
          <w:color w:val="000000"/>
          <w:sz w:val="20"/>
          <w:szCs w:val="20"/>
          <w:lang w:val="de-DE"/>
        </w:rPr>
      </w:pPr>
      <w:r w:rsidRPr="003318A1">
        <w:rPr>
          <w:lang w:val="en-GB"/>
        </w:rPr>
        <w:t>We suggest a compression/ventilation (CV) ratio of 30:2 compared with any other CV ratio in patients with cardiac arrest</w:t>
      </w:r>
      <w:r w:rsidRPr="003318A1">
        <w:rPr>
          <w:i/>
          <w:lang w:val="en-GB"/>
        </w:rPr>
        <w:t xml:space="preserve">. </w:t>
      </w:r>
      <w:r w:rsidRPr="003318A1">
        <w:rPr>
          <w:i/>
          <w:lang w:val="de-DE"/>
        </w:rPr>
        <w:t>(Für Patienten mit Herzstillstand empfehlen wir Kompressionen-zu-A</w:t>
      </w:r>
      <w:r w:rsidRPr="003318A1">
        <w:rPr>
          <w:i/>
          <w:lang w:val="de-DE"/>
        </w:rPr>
        <w:t>temspende im Verhältnis 30:2.)</w:t>
      </w:r>
      <w:r w:rsidRPr="003318A1">
        <w:rPr>
          <w:lang w:val="de-DE"/>
        </w:rPr>
        <w:t xml:space="preserve"> </w:t>
      </w:r>
    </w:p>
    <w:p w:rsidR="006D7F1D" w:rsidRPr="003318A1" w:rsidRDefault="003318A1" w:rsidP="003318A1">
      <w:pPr>
        <w:pStyle w:val="ListParagraph"/>
        <w:numPr>
          <w:ilvl w:val="0"/>
          <w:numId w:val="2"/>
        </w:numPr>
        <w:autoSpaceDE w:val="0"/>
        <w:autoSpaceDN w:val="0"/>
        <w:adjustRightInd w:val="0"/>
        <w:rPr>
          <w:i/>
          <w:iCs/>
          <w:color w:val="000000"/>
          <w:sz w:val="20"/>
          <w:szCs w:val="20"/>
          <w:lang w:val="de-DE"/>
        </w:rPr>
      </w:pPr>
      <w:r>
        <w:t xml:space="preserve">We suggest that bystanders provide CPR with ventilation for infants and children less than 18 years of age with cardiac arrest. </w:t>
      </w:r>
      <w:r w:rsidRPr="003318A1">
        <w:rPr>
          <w:i/>
          <w:lang w:val="de-DE"/>
        </w:rPr>
        <w:t>(Für Kleinkinder und Kinder unter 18 Jahren, die einen Herzstillstand haben, empfehlen wir HLW mit Atemspende</w:t>
      </w:r>
      <w:r w:rsidRPr="003318A1">
        <w:rPr>
          <w:i/>
          <w:lang w:val="de-DE"/>
        </w:rPr>
        <w:t>.</w:t>
      </w:r>
      <w:r w:rsidRPr="003318A1">
        <w:rPr>
          <w:i/>
          <w:lang w:val="de-DE"/>
        </w:rPr>
        <w:t>)</w:t>
      </w:r>
      <w:r w:rsidRPr="003318A1">
        <w:rPr>
          <w:lang w:val="de-DE"/>
        </w:rPr>
        <w:t xml:space="preserve"> </w:t>
      </w:r>
      <w:r>
        <w:rPr>
          <w:lang w:val="de-DE"/>
        </w:rPr>
        <w:br/>
      </w:r>
      <w:r>
        <w:t xml:space="preserve">We continue to recommend that if bystanders cannot provide rescue breaths as part of CPR for infants and children under 18 years of age with cardiac arrest, they should at least provide chest compressions. </w:t>
      </w:r>
      <w:r w:rsidRPr="003318A1">
        <w:rPr>
          <w:i/>
          <w:lang w:val="de-DE"/>
        </w:rPr>
        <w:t>(Falls Helfer sich außerstande sehen, Kleinkinder und Kinder unter 18 Jahren, die einen Herzstillstand haben, zu beatmen, sollten sie ihnen zumindest durch Kompressionen des Brustkorbs helfen</w:t>
      </w:r>
      <w:r>
        <w:rPr>
          <w:i/>
          <w:lang w:val="de-DE"/>
        </w:rPr>
        <w:t>.</w:t>
      </w:r>
      <w:r w:rsidRPr="003318A1">
        <w:rPr>
          <w:i/>
          <w:lang w:val="de-DE"/>
        </w:rPr>
        <w:t>)</w:t>
      </w:r>
    </w:p>
    <w:p w:rsidR="003318A1" w:rsidRPr="003318A1" w:rsidRDefault="003318A1" w:rsidP="003318A1">
      <w:pPr>
        <w:pStyle w:val="ListParagraph"/>
        <w:autoSpaceDE w:val="0"/>
        <w:autoSpaceDN w:val="0"/>
        <w:adjustRightInd w:val="0"/>
        <w:rPr>
          <w:i/>
          <w:iCs/>
          <w:color w:val="000000"/>
          <w:sz w:val="20"/>
          <w:szCs w:val="20"/>
          <w:lang w:val="de-DE"/>
        </w:rPr>
      </w:pPr>
    </w:p>
    <w:p w:rsidR="006D7F1D" w:rsidRPr="003318A1" w:rsidRDefault="006D7F1D" w:rsidP="006D7F1D">
      <w:pPr>
        <w:rPr>
          <w:rFonts w:ascii="EamesCenturyModern-Regular" w:hAnsi="EamesCenturyModern-Regular" w:cs="EamesCenturyModern-Regular"/>
          <w:color w:val="3D5E9C"/>
          <w:lang w:val="de-DE"/>
        </w:rPr>
      </w:pPr>
    </w:p>
    <w:p w:rsidR="003318A1" w:rsidRPr="00635FFE" w:rsidRDefault="003318A1" w:rsidP="003318A1">
      <w:pPr>
        <w:rPr>
          <w:color w:val="FF0000"/>
        </w:rPr>
      </w:pPr>
      <w:r>
        <w:rPr>
          <w:color w:val="FF0000"/>
        </w:rPr>
        <w:lastRenderedPageBreak/>
        <w:t>Erstes Quartal</w:t>
      </w:r>
      <w:r>
        <w:rPr>
          <w:color w:val="FF0000"/>
        </w:rPr>
        <w:t xml:space="preserve"> 2019</w:t>
      </w:r>
    </w:p>
    <w:p w:rsidR="0080561F" w:rsidRPr="0080561F" w:rsidRDefault="003318A1" w:rsidP="0080561F">
      <w:pPr>
        <w:rPr>
          <w:lang w:val="de-DE"/>
        </w:rPr>
      </w:pPr>
      <w:r w:rsidRPr="0080561F">
        <w:rPr>
          <w:b/>
          <w:color w:val="2F5496" w:themeColor="accent5" w:themeShade="BF"/>
          <w:sz w:val="32"/>
          <w:lang w:val="de-DE"/>
        </w:rPr>
        <w:t>Geräte für HLW Training mit sofortigem Feedback</w:t>
      </w:r>
      <w:r w:rsidR="006D7F1D" w:rsidRPr="0080561F">
        <w:rPr>
          <w:rFonts w:ascii="TitlingGothicFBCond-Bold" w:hAnsi="TitlingGothicFBCond-Bold"/>
          <w:b/>
          <w:bCs/>
          <w:color w:val="2F5496" w:themeColor="accent5" w:themeShade="BF"/>
          <w:sz w:val="46"/>
          <w:szCs w:val="40"/>
          <w:lang w:val="de-DE"/>
        </w:rPr>
        <w:br/>
      </w:r>
      <w:r w:rsidR="0080561F" w:rsidRPr="0080561F">
        <w:rPr>
          <w:rFonts w:ascii="EamesCenturyModern-Medium" w:hAnsi="EamesCenturyModern-Medium"/>
          <w:color w:val="068789"/>
          <w:sz w:val="24"/>
          <w:szCs w:val="24"/>
          <w:lang w:val="de-DE"/>
        </w:rPr>
        <w:t>F</w:t>
      </w:r>
      <w:r w:rsidR="006D7F1D" w:rsidRPr="0080561F">
        <w:rPr>
          <w:rFonts w:ascii="EamesCenturyModern-Medium" w:hAnsi="EamesCenturyModern-Medium"/>
          <w:color w:val="068789"/>
          <w:sz w:val="24"/>
          <w:szCs w:val="24"/>
          <w:lang w:val="de-DE"/>
        </w:rPr>
        <w:t xml:space="preserve">. </w:t>
      </w:r>
      <w:r w:rsidR="0080561F" w:rsidRPr="0080561F">
        <w:rPr>
          <w:lang w:val="de-DE"/>
        </w:rPr>
        <w:t>Darf ich in EFR® Kursen HLW-Puppen oder andere Geräte verwenden, die den Kursteilnehmer sofort wissen lassen, wie seine HLW-Kompressionen bzgl. Rate und Tiefe waren?</w:t>
      </w:r>
      <w:r w:rsidR="006D7F1D" w:rsidRPr="0080561F">
        <w:rPr>
          <w:rFonts w:ascii="EamesCenturyModern-Medium" w:hAnsi="EamesCenturyModern-Medium"/>
          <w:color w:val="000000"/>
          <w:lang w:val="de-DE"/>
        </w:rPr>
        <w:br/>
      </w:r>
      <w:r w:rsidR="006D7F1D" w:rsidRPr="0080561F">
        <w:rPr>
          <w:rFonts w:ascii="EamesCenturyModern-Medium" w:hAnsi="EamesCenturyModern-Medium"/>
          <w:color w:val="068789"/>
          <w:sz w:val="24"/>
          <w:szCs w:val="24"/>
          <w:lang w:val="de-DE"/>
        </w:rPr>
        <w:t xml:space="preserve">A. </w:t>
      </w:r>
      <w:r w:rsidR="0080561F" w:rsidRPr="0080561F">
        <w:rPr>
          <w:lang w:val="de-DE"/>
        </w:rPr>
        <w:t>Absolut. Mindestens eine Organisation, die American Heart Association (AHA), empfiehlt zum Erlernen von HLW für Erwachsene ausdrücklich den Gebrauch von HLW-Puppen o. ä., die dem Lernenden ein sofortiges Feedback geben. Natürlich ist es essentiell, dass HLW Fertigkeiten mehrfach wiederholt werden, um diese wirklich zu beherrschen, aber es wird diskutiert, ob solcherlei Feedback-Geräte die dafür erforderliche Zeit verringern können, weil sich der Lernende aufgrund des Feedbacks sofort selbst korrigieren kann. ILCOR hat in den letzten Jahren immer wieder betont, wie wichtig Kompressions-Rate und -Tiefe sowie das anschließende Entlasten des Brustkorbs für eine effektive HLW sind; daher stellen solche Feedback</w:t>
      </w:r>
      <w:r w:rsidR="0080561F">
        <w:rPr>
          <w:lang w:val="de-DE"/>
        </w:rPr>
        <w:t xml:space="preserve"> </w:t>
      </w:r>
      <w:r w:rsidR="0080561F" w:rsidRPr="0080561F">
        <w:rPr>
          <w:lang w:val="de-DE"/>
        </w:rPr>
        <w:t>Geräte eine interessante Lernhilfe dar, um da Beherrschen der HLW-Fertigkeiten zu beurteilen.</w:t>
      </w:r>
      <w:r w:rsidR="0080561F">
        <w:rPr>
          <w:lang w:val="de-DE"/>
        </w:rPr>
        <w:br/>
      </w:r>
      <w:r w:rsidR="0080561F">
        <w:rPr>
          <w:lang w:val="de-DE"/>
        </w:rPr>
        <w:tab/>
      </w:r>
      <w:r w:rsidR="0080561F" w:rsidRPr="0080561F">
        <w:rPr>
          <w:lang w:val="de-DE"/>
        </w:rPr>
        <w:t>Wichtig beim Einsatz von HLW-Feedback</w:t>
      </w:r>
      <w:r w:rsidR="0080561F">
        <w:rPr>
          <w:lang w:val="de-DE"/>
        </w:rPr>
        <w:t xml:space="preserve"> </w:t>
      </w:r>
      <w:r w:rsidR="0080561F" w:rsidRPr="0080561F">
        <w:rPr>
          <w:lang w:val="de-DE"/>
        </w:rPr>
        <w:t>Puppen in EFR Kursen ist, dass dadurch dem Lernenden signalisiert wird wie „gut“ er es bereits macht – und somit der Philosophie des EFR Instructor Kurses entsprochen wird, die da lautet: „kompetent-statt-perfekt“. Bedenke, dass beim Erlernen von HLW oft befürchtet wird, man könnte es nicht „richtig“ machen, besonders wenn nicht sofort „großartige“ Feedback-Ergebnisse erzielt werden. Wenn der EFR Instructor nicht dafür sorgt, dass sich der Lernende beim Üben wohlfühlt und beim Lernen unterstützt wird, kann dies die Fähigkeit zum Lernen und zum Behalten der erlernten Fertigkeiten beeinträchtigen, was die Bereitschaft in Frage stellt, dass diese im „Fall der Fälle“ tatsächlich eingesetzt werden. Richtig eingesetzt, können HLW-Feedback-Geräte jedoch eine hervorragende Hilfe beim Lernen sein. Einige solcher Geräte sind in HLW-Puppen integriert, andere werden zusätzlich zu HLW-Puppen verwendet.</w:t>
      </w:r>
    </w:p>
    <w:p w:rsidR="00DD0144" w:rsidRPr="0080561F" w:rsidRDefault="00DD0144">
      <w:pPr>
        <w:rPr>
          <w:lang w:val="de-DE"/>
        </w:rPr>
      </w:pPr>
    </w:p>
    <w:sectPr w:rsidR="00DD0144" w:rsidRPr="0080561F">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tlingGothicFBNarrow-Bold">
    <w:altName w:val="Times New Roman"/>
    <w:panose1 w:val="00000000000000000000"/>
    <w:charset w:val="00"/>
    <w:family w:val="roman"/>
    <w:notTrueType/>
    <w:pitch w:val="default"/>
  </w:font>
  <w:font w:name="EamesCenturyModern-Regular">
    <w:panose1 w:val="00000000000000000000"/>
    <w:charset w:val="00"/>
    <w:family w:val="auto"/>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FuturaLT">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uturaLT-Bold">
    <w:panose1 w:val="00000000000000000000"/>
    <w:charset w:val="00"/>
    <w:family w:val="auto"/>
    <w:notTrueType/>
    <w:pitch w:val="default"/>
    <w:sig w:usb0="00000003" w:usb1="00000000" w:usb2="00000000" w:usb3="00000000" w:csb0="00000001" w:csb1="00000000"/>
  </w:font>
  <w:font w:name="TitlingGothicFBCond-Bold">
    <w:altName w:val="Times New Roman"/>
    <w:panose1 w:val="00000000000000000000"/>
    <w:charset w:val="00"/>
    <w:family w:val="roman"/>
    <w:notTrueType/>
    <w:pitch w:val="default"/>
  </w:font>
  <w:font w:name="EamesCenturyModern-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28604"/>
      <w:docPartObj>
        <w:docPartGallery w:val="Page Numbers (Margins)"/>
        <w:docPartUnique/>
      </w:docPartObj>
    </w:sdtPr>
    <w:sdtEndPr/>
    <w:sdtContent>
      <w:p w:rsidR="001F092C" w:rsidRDefault="0080561F">
        <w:pPr>
          <w:pStyle w:val="Header"/>
        </w:pPr>
        <w:r>
          <w:rPr>
            <w:noProof/>
            <w:lang w:val="en-GB" w:eastAsia="en-GB"/>
          </w:rPr>
          <mc:AlternateContent>
            <mc:Choice Requires="wps">
              <w:drawing>
                <wp:anchor distT="0" distB="0" distL="114300" distR="114300" simplePos="0" relativeHeight="251659264" behindDoc="0" locked="0" layoutInCell="0" allowOverlap="1" wp14:anchorId="0B2CFF56" wp14:editId="584C33DF">
                  <wp:simplePos x="0" y="0"/>
                  <wp:positionH relativeFrom="leftMargin">
                    <wp:align>center</wp:align>
                  </wp:positionH>
                  <wp:positionV relativeFrom="margin">
                    <wp:align>bottom</wp:align>
                  </wp:positionV>
                  <wp:extent cx="510540" cy="2183130"/>
                  <wp:effectExtent l="0" t="0" r="0" b="0"/>
                  <wp:wrapNone/>
                  <wp:docPr id="5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092C" w:rsidRDefault="0080561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Pr="0080561F">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B2CFF56"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BIWpNG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1F092C" w:rsidRDefault="0080561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Pr="0080561F">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B4E46"/>
    <w:multiLevelType w:val="hybridMultilevel"/>
    <w:tmpl w:val="15D2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55067A"/>
    <w:multiLevelType w:val="hybridMultilevel"/>
    <w:tmpl w:val="3744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1D"/>
    <w:rsid w:val="003318A1"/>
    <w:rsid w:val="006D7F1D"/>
    <w:rsid w:val="0080561F"/>
    <w:rsid w:val="00DD0144"/>
    <w:rsid w:val="00DF1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08E9F-4ACF-450F-948D-FE4BB741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F1D"/>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7F1D"/>
    <w:rPr>
      <w:color w:val="0563C1" w:themeColor="hyperlink"/>
      <w:u w:val="single"/>
    </w:rPr>
  </w:style>
  <w:style w:type="paragraph" w:styleId="Header">
    <w:name w:val="header"/>
    <w:basedOn w:val="Normal"/>
    <w:link w:val="HeaderChar"/>
    <w:uiPriority w:val="99"/>
    <w:unhideWhenUsed/>
    <w:rsid w:val="006D7F1D"/>
    <w:pPr>
      <w:tabs>
        <w:tab w:val="center" w:pos="4680"/>
        <w:tab w:val="right" w:pos="9360"/>
      </w:tabs>
    </w:pPr>
  </w:style>
  <w:style w:type="character" w:customStyle="1" w:styleId="HeaderChar">
    <w:name w:val="Header Char"/>
    <w:basedOn w:val="DefaultParagraphFont"/>
    <w:link w:val="Header"/>
    <w:uiPriority w:val="99"/>
    <w:rsid w:val="006D7F1D"/>
    <w:rPr>
      <w:lang w:val="en-US"/>
    </w:rPr>
  </w:style>
  <w:style w:type="paragraph" w:styleId="Footer">
    <w:name w:val="footer"/>
    <w:basedOn w:val="Normal"/>
    <w:link w:val="FooterChar"/>
    <w:uiPriority w:val="99"/>
    <w:unhideWhenUsed/>
    <w:rsid w:val="006D7F1D"/>
    <w:pPr>
      <w:tabs>
        <w:tab w:val="center" w:pos="4680"/>
        <w:tab w:val="right" w:pos="9360"/>
      </w:tabs>
    </w:pPr>
  </w:style>
  <w:style w:type="character" w:customStyle="1" w:styleId="FooterChar">
    <w:name w:val="Footer Char"/>
    <w:basedOn w:val="DefaultParagraphFont"/>
    <w:link w:val="Footer"/>
    <w:uiPriority w:val="99"/>
    <w:rsid w:val="006D7F1D"/>
    <w:rPr>
      <w:lang w:val="en-US"/>
    </w:rPr>
  </w:style>
  <w:style w:type="paragraph" w:styleId="ListParagraph">
    <w:name w:val="List Paragraph"/>
    <w:basedOn w:val="Normal"/>
    <w:uiPriority w:val="34"/>
    <w:qFormat/>
    <w:rsid w:val="006D7F1D"/>
    <w:pPr>
      <w:ind w:left="720"/>
      <w:contextualSpacing/>
    </w:pPr>
  </w:style>
  <w:style w:type="character" w:customStyle="1" w:styleId="fontstyle01">
    <w:name w:val="fontstyle01"/>
    <w:basedOn w:val="DefaultParagraphFont"/>
    <w:rsid w:val="006D7F1D"/>
    <w:rPr>
      <w:rFonts w:ascii="TitlingGothicFBNarrow-Bold" w:hAnsi="TitlingGothicFBNarrow-Bold" w:hint="default"/>
      <w:b/>
      <w:bCs/>
      <w:i w:val="0"/>
      <w:iCs w:val="0"/>
      <w:color w:val="000000"/>
      <w:sz w:val="26"/>
      <w:szCs w:val="26"/>
    </w:rPr>
  </w:style>
  <w:style w:type="character" w:customStyle="1" w:styleId="fontstyle21">
    <w:name w:val="fontstyle21"/>
    <w:basedOn w:val="DefaultParagraphFont"/>
    <w:rsid w:val="006D7F1D"/>
    <w:rPr>
      <w:rFonts w:ascii="EamesCenturyModern-Regular" w:hAnsi="EamesCenturyModern-Regular" w:hint="default"/>
      <w:b w:val="0"/>
      <w:bCs w:val="0"/>
      <w:i w:val="0"/>
      <w:iCs w:val="0"/>
      <w:color w:val="000000"/>
      <w:sz w:val="20"/>
      <w:szCs w:val="20"/>
    </w:rPr>
  </w:style>
  <w:style w:type="character" w:customStyle="1" w:styleId="fontstyle31">
    <w:name w:val="fontstyle31"/>
    <w:basedOn w:val="DefaultParagraphFont"/>
    <w:rsid w:val="006D7F1D"/>
    <w:rPr>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rguidelines.eu" TargetMode="External"/><Relationship Id="rId5" Type="http://schemas.openxmlformats.org/officeDocument/2006/relationships/hyperlink" Target="http://circ.ahajournals.org/content/132/16_suppl_1.t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Bik</dc:creator>
  <cp:keywords/>
  <dc:description/>
  <cp:lastModifiedBy>Joep Bik</cp:lastModifiedBy>
  <cp:revision>1</cp:revision>
  <dcterms:created xsi:type="dcterms:W3CDTF">2019-04-24T15:27:00Z</dcterms:created>
  <dcterms:modified xsi:type="dcterms:W3CDTF">2019-04-24T15:59:00Z</dcterms:modified>
</cp:coreProperties>
</file>